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D43" w:rsidRDefault="00A06D43" w:rsidP="0039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b/>
            <w:sz w:val="24"/>
          </w:rPr>
          <w:t>15:03</w:t>
        </w:r>
      </w:smartTag>
      <w:r>
        <w:rPr>
          <w:rFonts w:ascii="Times New Roman" w:hAnsi="Times New Roman"/>
          <w:b/>
          <w:sz w:val="24"/>
        </w:rPr>
        <w:t>:08.  Delegation of authority to grant uncontested variance.</w:t>
      </w:r>
      <w:r>
        <w:rPr>
          <w:rFonts w:ascii="Times New Roman" w:hAnsi="Times New Roman"/>
          <w:sz w:val="24"/>
        </w:rPr>
        <w:t xml:space="preserve"> If no petition in opposition is filed pursuant to § 61:15:03:09, the Department of Public Safety may grant a variance pursuant to SDCL 34-38-39. A variance may be granted no sooner than 20 days after publication of the variance notice. Petitions filed in support of a variance may not result in a hearing; however, the petitioner will receive notice if a hearing is to be held.</w:t>
      </w:r>
    </w:p>
    <w:p w:rsidR="00A06D43" w:rsidRDefault="00A06D43" w:rsidP="0039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6D43" w:rsidRDefault="00A06D43" w:rsidP="0039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50, effective September 16, 1991; 23 SDR 32, effective September 11, 1996; 27 SDR 75, effective February 7, 2001; 33 SDR 113, effective January 2, 2007.</w:t>
      </w:r>
    </w:p>
    <w:p w:rsidR="00A06D43" w:rsidRDefault="00A06D43" w:rsidP="0039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34-38-35.</w:t>
      </w:r>
    </w:p>
    <w:p w:rsidR="00A06D43" w:rsidRDefault="00A06D43" w:rsidP="0039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34-38-25, 34-38-35, 34-38-39.</w:t>
      </w:r>
    </w:p>
    <w:p w:rsidR="00A06D43" w:rsidRDefault="00A06D43" w:rsidP="0039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06D43" w:rsidSect="00A06D4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952BF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06D43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CF14F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52B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105</Words>
  <Characters>602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2004-08-31T21:49:00Z</dcterms:created>
  <dcterms:modified xsi:type="dcterms:W3CDTF">2006-12-31T17:17:00Z</dcterms:modified>
</cp:coreProperties>
</file>