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9651A2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61:15:07:22.  Interior finish requirements.</w:t>
      </w:r>
      <w:r>
        <w:t xml:space="preserve"> Interior wall and ceiling finish shall conform to section 803.1</w:t>
      </w:r>
      <w:r>
        <w:t>, Table 803.</w:t>
      </w:r>
      <w:r>
        <w:rPr>
          <w:lang w:val="en-US" w:bidi="en-US" w:eastAsia="en-US"/>
        </w:rPr>
        <w:t>11</w:t>
      </w:r>
      <w:r>
        <w:t xml:space="preserve">, chapter 8 of the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edition. Exposed floor surfaces, including coverings which are applied over a previously finished floor, shall be a Class 2 material in required exits and passageways and in corridors providing exit access. If an automatic sprinkler system is installed, materials need not be classified. Class 2 materials are any materials having a critical radian flux of 0.22 watt per square centimeter as determined by NFPA 253, "Standard Method of Test for Critical Radiant Flux of Floor Covering Systems Using a Radiant Heat Energy Source," 20</w:t>
      </w:r>
      <w:r>
        <w:rPr>
          <w:lang w:val="en-US" w:bidi="en-US" w:eastAsia="en-US"/>
        </w:rPr>
        <w:t>15</w:t>
      </w:r>
      <w:r>
        <w:t xml:space="preserve"> edition.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107, effective January 1, 1992; 23 SDR 32, effective September 11, 1996; 27 SDR 75, effective February 7, 2001; 33 SDR 113, effective January 2, 2007; 37 SDR 235, effective June 28, 2011</w:t>
      </w:r>
      <w: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13-25-2.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13-25-3, 13-25-4.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References:</w:t>
      </w:r>
      <w:r>
        <w:t xml:space="preserve">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114</w:t>
      </w:r>
      <w:r>
        <w:t>.</w:t>
      </w:r>
      <w:r>
        <w:rPr>
          <w:lang w:val="en-US" w:bidi="en-US" w:eastAsia="en-US"/>
        </w:rPr>
        <w:t>0</w:t>
      </w:r>
      <w:r>
        <w:t>0 for members and $1</w:t>
      </w:r>
      <w:r>
        <w:rPr>
          <w:lang w:val="en-US" w:bidi="en-US" w:eastAsia="en-US"/>
        </w:rPr>
        <w:t>5</w:t>
      </w:r>
      <w:r>
        <w:t>2</w:t>
      </w:r>
      <w:r>
        <w:t>.</w:t>
      </w:r>
      <w:r>
        <w:rPr>
          <w:lang w:val="en-US" w:bidi="en-US" w:eastAsia="en-US"/>
        </w:rPr>
        <w:t>0</w:t>
      </w:r>
      <w:r>
        <w:t>0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253, "Standard Method of Test for Critical Radiant Flux of Floor Covering Systems Using a Radiant Heat Energy Source," 20</w:t>
      </w:r>
      <w:r>
        <w:rPr>
          <w:lang w:val="en-US" w:bidi="en-US" w:eastAsia="en-US"/>
        </w:rPr>
        <w:t>15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35</w:t>
      </w:r>
      <w:r>
        <w:t>.</w:t>
      </w:r>
      <w:r>
        <w:rPr>
          <w:lang w:val="en-US" w:bidi="en-US" w:eastAsia="en-US"/>
        </w:rPr>
        <w:t>5</w:t>
      </w:r>
      <w:r>
        <w:rPr>
          <w:lang w:val="en-US" w:bidi="en-US" w:eastAsia="en-US"/>
        </w:rPr>
        <w:t>5</w:t>
      </w:r>
      <w:r>
        <w:t xml:space="preserve"> for members and $3</w:t>
      </w:r>
      <w:r>
        <w:rPr>
          <w:lang w:val="en-US" w:bidi="en-US" w:eastAsia="en-US"/>
        </w:rPr>
        <w:t>9.50</w:t>
      </w:r>
      <w:r>
        <w:t xml:space="preserve">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