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D06" w:rsidRDefault="00B41D06" w:rsidP="00374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61:18:04:02.  Eligibility for restricted license.</w:t>
      </w:r>
      <w:r>
        <w:rPr>
          <w:rFonts w:ascii="Times New Roman" w:hAnsi="Times New Roman"/>
          <w:sz w:val="24"/>
        </w:rPr>
        <w:t xml:space="preserve"> A person whose license is suspended pursuant to SDCL subdivision 32-12-49(4) is eligible for a restricted license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pursuant to article 61:19 unless the suspension is a second or subsequent suspension pursuant to SDCL subdivision 32-12-49(4) within the last 24 consecutive months.</w:t>
      </w:r>
    </w:p>
    <w:p w:rsidR="00B41D06" w:rsidRDefault="00B41D06" w:rsidP="00374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1D06" w:rsidRDefault="00B41D06" w:rsidP="00374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B41D06" w:rsidRDefault="00B41D06" w:rsidP="0037469B">
      <w:pPr>
        <w:pStyle w:val="BodyText"/>
      </w:pPr>
      <w:r>
        <w:tab/>
      </w:r>
      <w:r>
        <w:rPr>
          <w:b/>
        </w:rPr>
        <w:t>General Authority:</w:t>
      </w:r>
      <w:r>
        <w:t xml:space="preserve"> SDCL 32-12-49, 32-12-49.4, 32-23-11(1).</w:t>
      </w:r>
    </w:p>
    <w:p w:rsidR="00B41D06" w:rsidRDefault="00B41D06" w:rsidP="00374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32-12-49, 32-12-49.4, 32-23-11(1).</w:t>
      </w:r>
    </w:p>
    <w:p w:rsidR="00B41D06" w:rsidRDefault="00B41D06" w:rsidP="00374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1D06" w:rsidSect="00B41D0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7469B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41D06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469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37469B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9601E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2004-09-02T17:01:00Z</dcterms:created>
  <dcterms:modified xsi:type="dcterms:W3CDTF">2004-09-02T17:01:00Z</dcterms:modified>
</cp:coreProperties>
</file>