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61:19:02:04.  Determining need.</w:t>
      </w:r>
      <w:r>
        <w:rPr>
          <w:rFonts w:ascii="Times New Roman" w:hAnsi="Times New Roman"/>
          <w:sz w:val="24"/>
        </w:rPr>
        <w:t xml:space="preserve"> For the purposes of § 61:19:02:02 in determining the need to operate a motor vehicle to and from work or school, the following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considered: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Residence more than one mile from place of employment or school;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Presence of some physical handicap which will not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ow applicant to walk from the applicant's residence to the applicant's place of employment or school;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Existence of no other means of transportation such as someone else in the family who can drive the applicant to work or school and back, a car pool which can pick the applicant up, or public transportation which is available within one mile of the applicant's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>, school, or place of business.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6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662DF4" w:rsidRDefault="00662DF4" w:rsidP="00243A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2DF4" w:rsidSect="00662DF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43A5A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2DF4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3A5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147</Words>
  <Characters>840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2004-09-02T17:10:00Z</dcterms:created>
  <dcterms:modified xsi:type="dcterms:W3CDTF">2004-09-02T17:10:00Z</dcterms:modified>
</cp:coreProperties>
</file>