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61:25:01:01.  Commercial driver license standards, requirements, and penalties.</w:t>
      </w:r>
      <w:r>
        <w:rPr>
          <w:rFonts w:ascii="Times New Roman" w:hAnsi="Times New Roman"/>
          <w:sz w:val="24"/>
          <w:szCs w:val="20"/>
        </w:rPr>
        <w:t xml:space="preserve"> The commercial driver license standards, requirements, and penalties adopted by the U.S. Department of Transportation in 49 C.F.R. Parts 383, 390, 391, and 392 as of January 1, 2015</w:t>
      </w:r>
      <w:r>
        <w:rPr>
          <w:rFonts w:ascii="Times New Roman" w:hAnsi="Times New Roman"/>
          <w:sz w:val="24"/>
          <w:szCs w:val="20"/>
        </w:rPr>
        <w:t xml:space="preserve"> are the rules of South Dakota Department of Public Safety to the extent authorized by SDCL 32-12A-48 for the licensing of commercial motor vehicle operators. </w:t>
      </w:r>
      <w:r>
        <w:rPr>
          <w:rFonts w:ascii="Times New Roman" w:hAnsi="Times New Roman"/>
          <w:sz w:val="24"/>
        </w:rPr>
        <w:t>The provisions of 49 C.F.R. Parts 383.75 and 383.77, along with 49 C.F.R. Part 380, Subparts G and H, effective September 30, 2019, shall supersede any prior contrary provisions as rules of the South Dakota Department of Public Safety with respect to the subject matter thereof.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szCs w:val="20"/>
        </w:rPr>
        <w:t>The rules provide for definitions, single license requirements, testing and licensing procedures, vehicle groups and endorsements, required knowledge and skills, tests, commercial driver license documents, disqualification, and penalties.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16 SDR 88, effective November 16, 1989; 33 SDR 108, effective December 27, 2006; 35 SDR 305, effective July 1, 2009; 40 SDR 39, effective September 9, 2013; SL 2015, ch 168, § 45, effective July 1, 2015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48 SDR 18, effective August 30, 2021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32-12A-48(12).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32-12A-7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 32-12A-11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rPr>
          <w:rFonts w:ascii="Times New Roman" w:hAnsi="Times New Roman"/>
          <w:sz w:val="24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2015-05-27T16:27:00Z</dcterms:created>
  <cp:lastModifiedBy>Kelly Thompson</cp:lastModifiedBy>
  <cp:lastPrinted>2015-05-27T16:28:00Z</cp:lastPrinted>
  <dcterms:modified xsi:type="dcterms:W3CDTF">2021-08-23T14:09:58Z</dcterms:modified>
  <cp:revision>6</cp:revision>
</cp:coreProperties>
</file>