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61:25:04:05.  Requirements for third-party testers.</w:t>
      </w:r>
      <w:r>
        <w:rPr>
          <w:rFonts w:ascii="Times New Roman" w:hAnsi="Times New Roman"/>
          <w:sz w:val="24"/>
          <w:szCs w:val="20"/>
        </w:rPr>
        <w:t xml:space="preserve"> To be licensed, a third-party tester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must</w:t>
      </w:r>
      <w:r>
        <w:rPr>
          <w:rFonts w:ascii="Times New Roman" w:hAnsi="Times New Roman"/>
          <w:sz w:val="24"/>
          <w:szCs w:val="20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  <w:t>(1)  Apply to the department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,</w:t>
      </w:r>
      <w:r>
        <w:rPr>
          <w:rFonts w:ascii="Times New Roman" w:hAnsi="Times New Roman"/>
          <w:sz w:val="24"/>
          <w:szCs w:val="20"/>
        </w:rPr>
        <w:t xml:space="preserve"> as provided in § 61:25:04:08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,</w:t>
      </w:r>
      <w:r>
        <w:rPr>
          <w:rFonts w:ascii="Times New Roman" w:hAnsi="Times New Roman"/>
          <w:sz w:val="24"/>
          <w:szCs w:val="20"/>
        </w:rPr>
        <w:t xml:space="preserve"> and enter into an agreement with the department;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  <w:t>(2)  Maintain a place of business with at least one permanent regularly occupied structure in this state;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  <w:t>(3)  Direct or control at least one qualified third-party examiner approved by the department. A third-party tester may also be a third-party examiner;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  <w:t>(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4</w:t>
      </w:r>
      <w:r>
        <w:rPr>
          <w:rFonts w:ascii="Times New Roman" w:hAnsi="Times New Roman"/>
          <w:sz w:val="24"/>
          <w:szCs w:val="20"/>
        </w:rPr>
        <w:t xml:space="preserve">)  Allow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the Federal Motor Carrier Safety Administration</w:t>
      </w:r>
      <w:r>
        <w:rPr>
          <w:rFonts w:ascii="Times New Roman" w:hAnsi="Times New Roman"/>
          <w:sz w:val="24"/>
          <w:szCs w:val="20"/>
        </w:rPr>
        <w:t>, its representatives, and the department to conduct random examinations, inspections, and audits without prior notice;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  <w:t>(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5</w:t>
      </w:r>
      <w:r>
        <w:rPr>
          <w:rFonts w:ascii="Times New Roman" w:hAnsi="Times New Roman"/>
          <w:sz w:val="24"/>
          <w:szCs w:val="20"/>
        </w:rPr>
        <w:t>)  Allow the department to conduct annual on-site inspections;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  <w:t>(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6</w:t>
      </w:r>
      <w:r>
        <w:rPr>
          <w:rFonts w:ascii="Times New Roman" w:hAnsi="Times New Roman"/>
          <w:sz w:val="24"/>
          <w:szCs w:val="20"/>
        </w:rPr>
        <w:t>)  Maintain for two years the completed commercial driver licensing skills test scoring sheet of each driver for whom the third-party tester conducts a skills test, whether or not the driver passes or fails the test at an approved location within the state;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  <w:t>(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7</w:t>
      </w:r>
      <w:r>
        <w:rPr>
          <w:rFonts w:ascii="Times New Roman" w:hAnsi="Times New Roman"/>
          <w:sz w:val="24"/>
          <w:szCs w:val="20"/>
        </w:rPr>
        <w:t>)  Maintain a record of each third-party examiner under the direction or control of the third-party tester at an approved location and retain the record for at least two years after the third-party examiner leaves the direction or control of the third-party tester;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  <w:t>(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8</w:t>
      </w:r>
      <w:r>
        <w:rPr>
          <w:rFonts w:ascii="Times New Roman" w:hAnsi="Times New Roman"/>
          <w:sz w:val="24"/>
          <w:szCs w:val="20"/>
        </w:rPr>
        <w:t>)  Ensure that the skill tests are conducted in accordance with the requirements of § 61:25:04:18;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  <w:t>(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9</w:t>
      </w:r>
      <w:r>
        <w:rPr>
          <w:rFonts w:ascii="Times New Roman" w:hAnsi="Times New Roman"/>
          <w:sz w:val="24"/>
          <w:szCs w:val="20"/>
        </w:rPr>
        <w:t>)  Enter each test score into the Commercial Skills Test Information Management System;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  <w:t>(1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0</w:t>
      </w:r>
      <w:r>
        <w:rPr>
          <w:rFonts w:ascii="Times New Roman" w:hAnsi="Times New Roman"/>
          <w:sz w:val="24"/>
          <w:szCs w:val="20"/>
        </w:rPr>
        <w:t>)  Meet all requirements of state law, federal law, and local ordinances;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  <w:t>(1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1</w:t>
      </w:r>
      <w:r>
        <w:rPr>
          <w:rFonts w:ascii="Times New Roman" w:hAnsi="Times New Roman"/>
          <w:sz w:val="24"/>
          <w:szCs w:val="20"/>
        </w:rPr>
        <w:t xml:space="preserve">)  Send a copy of testing records to the department by the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fifteenth</w:t>
      </w:r>
      <w:r>
        <w:rPr>
          <w:rFonts w:ascii="Times New Roman" w:hAnsi="Times New Roman"/>
          <w:sz w:val="24"/>
          <w:szCs w:val="20"/>
        </w:rPr>
        <w:t xml:space="preserve"> day of each month.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16 SDR 88, effective November 16, 1989; 25 SDR 34, effective September 15, 1998; 33 SDR 108, effective December 27, 2006; 40 SDR 39, effective September 9, 2013; SL 2015, ch 168, § 48, effective July 1,2015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; 50 SDR 47, effective October 16, 2023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SDCL 32-12A-48(6).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SDCL 32-12A-11, 32-12A-49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spacing w:lineRule="auto" w:line="276" w:after="200" w:beforeAutospacing="0" w:afterAutospacing="0"/>
    </w:pPr>
    <w:rPr>
      <w:sz w:val="22"/>
      <w:szCs w:val="22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2015-05-27T19:56:00Z</dcterms:created>
  <cp:lastModifiedBy>Kelly Thompson</cp:lastModifiedBy>
  <dcterms:modified xsi:type="dcterms:W3CDTF">2023-10-05T20:15:47Z</dcterms:modified>
  <cp:revision>5</cp:revision>
</cp:coreProperties>
</file>