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61:25:04:18.  Test administration.</w:t>
      </w:r>
      <w:r>
        <w:rPr>
          <w:rFonts w:ascii="Times New Roman" w:hAnsi="Times New Roman"/>
          <w:sz w:val="24"/>
          <w:szCs w:val="20"/>
        </w:rPr>
        <w:t xml:space="preserve"> Each skill test shall be conducted in accordance with the provisions in 49 C.F.R. 383, Subparts G and H as of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S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epte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mber 30, 201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9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Each skill test shall be conducted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(1)  On a test route approved by the department as indicated in § 61:25:04:11;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(2)</w:t>
      </w:r>
      <w:r>
        <w:rPr>
          <w:rFonts w:ascii="Times" w:hAnsi="Times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In a vehicle that is representative of the class and type of vehicle for which the commercial driver license applicant seeks to be licensed and for which the third-party examiner is qualified to test;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(3)  With approved content, forms, and scoring procedures provided by the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A person who trains a commercial driver license applicant to drive a commercial motor vehicle may not also act as the third-party tester or third-party examiner for that applicant. The department reserves the right to test or re-examine any applicant certified by a third-party examiner.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16 SDR 88, effective November 16, 1989; 25 SDR 34, effective September 15, 1998; 33 SDR 108, effective December 27, 2006; 35 SDR 305, effective July 1, 2009; 40 SDR 39, effective September 9, 2013; SL 2015, ch 168, §§ 34 and 52, effective July 1, 2015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48 SDR 18, effective August 30, 2021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32-12A-48(6).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32-12A-11, 32-12A-49.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2015-05-28T21:41:00Z</dcterms:created>
  <cp:lastModifiedBy>Kelly Thompson</cp:lastModifiedBy>
  <dcterms:modified xsi:type="dcterms:W3CDTF">2021-08-23T14:14:09Z</dcterms:modified>
  <cp:revision>4</cp:revision>
</cp:coreProperties>
</file>