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61:31:01:03.  Brakes.</w:t>
      </w:r>
      <w:r>
        <w:rPr>
          <w:rFonts w:ascii="Times New Roman" w:hAnsi="Times New Roman"/>
          <w:sz w:val="24"/>
        </w:rPr>
        <w:t xml:space="preserve"> All buses shall be equipped with those brakes required by and meeting the performance standards of SDCL 32-18.</w:t>
      </w:r>
    </w:p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32-18-1, 32-18-7, 32-18-8, 32-18-13, 32-18-19, 32-18-20.</w:t>
      </w:r>
    </w:p>
    <w:p w:rsidR="008B0740" w:rsidRDefault="008B0740" w:rsidP="00B472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0740" w:rsidSect="008B07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0740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4721E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721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2004-09-24T16:50:00Z</dcterms:created>
  <dcterms:modified xsi:type="dcterms:W3CDTF">2004-09-24T16:50:00Z</dcterms:modified>
</cp:coreProperties>
</file>