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61:31:01:04.  Bumpers, fenders, hoods, and doors.</w:t>
      </w:r>
      <w:r>
        <w:rPr>
          <w:rFonts w:ascii="Times New Roman" w:hAnsi="Times New Roman"/>
          <w:sz w:val="24"/>
        </w:rPr>
        <w:t xml:space="preserve"> All buses originally equipped with bumpers and fenders shall have those items securely fastened to the vehicle and maintained in a good state of repair. Doors and hoods of all buses shall comply with the provisions of SDCL 32-15.</w:t>
      </w:r>
    </w:p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32-15-32.</w:t>
      </w:r>
    </w:p>
    <w:p w:rsidR="00ED2C8D" w:rsidRDefault="00ED2C8D" w:rsidP="00821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2C8D" w:rsidSect="00ED2C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21CDF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ED2C8D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1C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2004-09-24T16:50:00Z</dcterms:created>
  <dcterms:modified xsi:type="dcterms:W3CDTF">2004-09-24T16:50:00Z</dcterms:modified>
</cp:coreProperties>
</file>