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61:31:01:05.  Exhaust system.</w:t>
      </w:r>
      <w:r>
        <w:rPr>
          <w:rFonts w:ascii="Times New Roman" w:hAnsi="Times New Roman"/>
          <w:sz w:val="24"/>
        </w:rPr>
        <w:t xml:space="preserve"> Every bus shall be equipped with an exhaust system in compliance with SDCL 32-15, and the system shall be in good repair.</w:t>
      </w:r>
    </w:p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32-15-17.</w:t>
      </w:r>
    </w:p>
    <w:p w:rsidR="00922359" w:rsidRDefault="00922359" w:rsidP="0046248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2359" w:rsidSect="0092235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154D8"/>
    <w:rsid w:val="00457620"/>
    <w:rsid w:val="00462482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22359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248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2004-09-24T16:50:00Z</dcterms:created>
  <dcterms:modified xsi:type="dcterms:W3CDTF">2004-09-24T16:50:00Z</dcterms:modified>
</cp:coreProperties>
</file>