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61:31:01:06.  Floor.</w:t>
      </w:r>
      <w:r>
        <w:rPr>
          <w:rFonts w:ascii="Times New Roman" w:hAnsi="Times New Roman"/>
          <w:sz w:val="24"/>
        </w:rPr>
        <w:t xml:space="preserve"> All buses shall have floors meeting the requirements of SDCL 32-15. All floor covering shall be securely attached to the floor of the vehicle and be in a condition which will not present a hazard to any passenger.</w:t>
      </w:r>
    </w:p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32-15-31.</w:t>
      </w:r>
    </w:p>
    <w:p w:rsidR="008E2AAD" w:rsidRDefault="008E2AAD" w:rsidP="00C726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2AAD" w:rsidSect="008E2A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8E2AAD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726EE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6E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67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2004-09-24T16:50:00Z</dcterms:created>
  <dcterms:modified xsi:type="dcterms:W3CDTF">2004-09-24T16:50:00Z</dcterms:modified>
</cp:coreProperties>
</file>