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D56" w:rsidRDefault="002E7D56" w:rsidP="004904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64:01:01:04.  Public requests for information.</w:t>
      </w:r>
      <w:r>
        <w:rPr>
          <w:rFonts w:ascii="Times New Roman" w:hAnsi="Times New Roman"/>
          <w:sz w:val="24"/>
        </w:rPr>
        <w:t xml:space="preserve"> All requests for information as well as any application for a rule or other substantive or procedural inquiry must be addressed to the secretary.</w:t>
      </w:r>
    </w:p>
    <w:p w:rsidR="002E7D56" w:rsidRDefault="002E7D56" w:rsidP="004904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7D56" w:rsidRDefault="002E7D56" w:rsidP="004904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2E7D56" w:rsidRDefault="002E7D56" w:rsidP="004904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10-45-47.1, 10-59-38.</w:t>
      </w:r>
    </w:p>
    <w:p w:rsidR="002E7D56" w:rsidRDefault="002E7D56" w:rsidP="004904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1-26-12.1.</w:t>
      </w:r>
    </w:p>
    <w:p w:rsidR="002E7D56" w:rsidRDefault="002E7D56" w:rsidP="0049048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E7D56" w:rsidSect="002E7D5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E7D56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4904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048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2004-10-07T17:10:00Z</dcterms:created>
  <dcterms:modified xsi:type="dcterms:W3CDTF">2004-10-07T17:10:00Z</dcterms:modified>
</cp:coreProperties>
</file>