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64:01:01:34.  Qualification process and requirements for direct payment permit holders.</w:t>
      </w:r>
      <w:r>
        <w:t xml:space="preserve"> An applicant for a direct payment permit sh</w:t>
      </w:r>
      <w:smartTag w:uri="urn:schemas-microsoft-com:office:smarttags" w:element="PersonName">
        <w:r>
          <w:t>all</w:t>
        </w:r>
      </w:smartTag>
      <w:r>
        <w:t xml:space="preserve"> meet the following minimum requirements: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Demonstrate the applicant's ability to comply with the department's sales and use tax laws and reporting and payment requirements. The applicant must provide a description of the accounting system used by the applicant and demonstrate that the accounting system reflects the proper amount of tax due;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Establish a business purpose for seeking a direct payment permit and must demonstrate that direct payment benefits tax compliance. For example, the utilization of direct payment authority sh</w:t>
      </w:r>
      <w:smartTag w:uri="urn:schemas-microsoft-com:office:smarttags" w:element="PersonName">
        <w:r>
          <w:t>all</w:t>
        </w:r>
      </w:smartTag>
      <w:r>
        <w:t xml:space="preserve"> accomplish one or more of the following: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Reduce the administrative work of determining taxability; collecting, verifying, calculating, or remitting the tax;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Provide for accurate compliance in circumstances where determination of taxability of the item is difficult or impractical at the time of purchase;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(c)  Provide for more accurate calculation of the tax where new or electronic business processes such as electronic data interchange, evaluated receipts settlement, or procurement cards are utilized; or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(d)  Provide for more accurate determination and calculation of tax where significant au</w:t>
      </w:r>
      <w:smartTag w:uri="urn:schemas-microsoft-com:office:smarttags" w:element="PersonName">
        <w:r>
          <w:t>tom</w:t>
        </w:r>
      </w:smartTag>
      <w:r>
        <w:t>ation or centralization of purchasing or accounting processes have occurred and applicant must comply with the laws and regulations of multiple state and local jurisdictions;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Has a volume threshold of annual purchases of tangible personal property, products transferred electronically, and services of at least $3 million, which are subject to sales and use taxes;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File and pay or agree to file and pay monthly sales and use tax returns;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File and pay or agree to file and pay by electronic means; and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Agree that its name may be published as a direct payment permit holder on the department's website and in any other related publication, and may be disclosed as a direct payment permit holder in any other manner for tax administration purposes.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The secretary sh</w:t>
      </w:r>
      <w:smartTag w:uri="urn:schemas-microsoft-com:office:smarttags" w:element="PersonName">
        <w:r>
          <w:t>all</w:t>
        </w:r>
      </w:smartTag>
      <w:r>
        <w:t xml:space="preserve"> review each direct payment permit application. When the department approves the issuance of a direct payment permit, the department sh</w:t>
      </w:r>
      <w:smartTag w:uri="urn:schemas-microsoft-com:office:smarttags" w:element="PersonName">
        <w:r>
          <w:t>all</w:t>
        </w:r>
      </w:smartTag>
      <w:r>
        <w:t xml:space="preserve"> assign the business a direct payment permit and send the business a direct payment permit. The permit applies only to the business to which it is is</w:t>
      </w:r>
      <w:smartTag w:uri="urn:schemas-microsoft-com:office:smarttags" w:element="PersonName">
        <w:r>
          <w:t>sue</w:t>
        </w:r>
      </w:smartTag>
      <w:r>
        <w:t>d and may not be used by a subsidiary or an affiliate of the business. If a business that has a direct payment permit restructures its business into a new business entity, the new entity must apply for a permit of its own.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69, effective </w:t>
      </w:r>
      <w:smartTag w:uri="urn:schemas-microsoft-com:office:smarttags" w:element="date">
        <w:smartTagPr>
          <w:attr w:name="Year" w:val="2001"/>
          <w:attr w:name="Day" w:val="21"/>
          <w:attr w:name="Month" w:val="11"/>
        </w:smartTagPr>
        <w:r>
          <w:t>November 21, 2001</w:t>
        </w:r>
      </w:smartTag>
      <w:r>
        <w:t xml:space="preserve">; 35 SDR 48, effective </w:t>
      </w:r>
      <w:smartTag w:uri="urn:schemas-microsoft-com:office:smarttags" w:element="date">
        <w:smartTagPr>
          <w:attr w:name="Year" w:val="2008"/>
          <w:attr w:name="Day" w:val="8"/>
          <w:attr w:name="Month" w:val="9"/>
        </w:smartTagPr>
        <w:r>
          <w:t>September 8, 2008</w:t>
        </w:r>
      </w:smartTag>
      <w:r>
        <w:t>.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10-46-67.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10-46-67.</w:t>
      </w:r>
    </w:p>
    <w:p w:rsidR="00CB13D7" w:rsidRDefault="00CB13D7" w:rsidP="00167D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B13D7" w:rsidSect="00CB13D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67DB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B13D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7DBC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414</Words>
  <Characters>2360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2008-09-06T20:10:00Z</dcterms:created>
  <dcterms:modified xsi:type="dcterms:W3CDTF">2008-09-06T20:11:00Z</dcterms:modified>
</cp:coreProperties>
</file>