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64:02:01:16.  </w:t>
      </w:r>
      <w:r>
        <w:rPr>
          <w:rFonts w:ascii="Times New Roman" w:hAnsi="Times New Roman"/>
          <w:b w:val="1"/>
          <w:sz w:val="24"/>
        </w:rPr>
        <w:t>Training</w:t>
      </w:r>
      <w:r>
        <w:rPr>
          <w:rFonts w:ascii="Times New Roman" w:hAnsi="Times New Roman"/>
          <w:b w:val="1"/>
          <w:sz w:val="24"/>
          <w:lang w:val="en-US" w:bidi="en-US" w:eastAsia="en-US"/>
        </w:rPr>
        <w:t xml:space="preserve"> courses</w:t>
      </w:r>
      <w:r>
        <w:rPr>
          <w:rFonts w:ascii="Times New Roman" w:hAnsi="Times New Roman"/>
          <w:b w:val="1"/>
          <w:sz w:val="24"/>
        </w:rPr>
        <w:t>.</w:t>
      </w:r>
      <w:r>
        <w:rPr>
          <w:rFonts w:ascii="Times New Roman" w:hAnsi="Times New Roman"/>
          <w:sz w:val="24"/>
        </w:rPr>
        <w:t xml:space="preserve"> </w:t>
      </w:r>
      <w:r>
        <w:rPr>
          <w:rFonts w:ascii="Times New Roman" w:hAnsi="Times New Roman"/>
          <w:sz w:val="24"/>
        </w:rPr>
        <w:t>An individual participating in the department certification program must complete training courses related to the laws governing the assessment and taxation of all classes of property and the fundamentals of appraising property. The required training courses may include IAAO courses; courses developed and hosted by the department; and other courses deemed necessary and approved for credit by the department</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2 SDR 40, effective December 8, 1975; 13 SDR 129, 13 SDR 134, effective July 1, 1987; 16 SDR 76, effective November 1, 1989; 19 SDR 42, effective September 29, 1992; 20 SDR 134, effective February 22, 1994; 21 SDR 219, effective July 1, 1995; 24 SDR 180, effective July 1, 1998; 27 SDR 9, effective August 7, 2000</w:t>
      </w:r>
      <w:r>
        <w:rPr>
          <w:rFonts w:ascii="Times New Roman" w:hAnsi="Times New Roman"/>
          <w:sz w:val="24"/>
        </w:rPr>
        <w:t>; 47 SDR 71, effective December 10, 2020</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10-3-1.2.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w:t>
      </w:r>
      <w:r>
        <w:rPr>
          <w:rFonts w:ascii="Times New Roman" w:hAnsi="Times New Roman"/>
          <w:sz w:val="24"/>
          <w:lang w:val="en-US" w:bidi="en-US" w:eastAsia="en-US"/>
        </w:rPr>
        <w:t>10-1-16, 1</w:t>
      </w:r>
      <w:r>
        <w:rPr>
          <w:rFonts w:ascii="Times New Roman" w:hAnsi="Times New Roman"/>
          <w:sz w:val="24"/>
          <w:lang w:val="en-US" w:bidi="en-US" w:eastAsia="en-US"/>
        </w:rPr>
        <w:t>0</w:t>
      </w:r>
      <w:r>
        <w:rPr>
          <w:rFonts w:ascii="Times New Roman" w:hAnsi="Times New Roman"/>
          <w:sz w:val="24"/>
          <w:lang w:val="en-US" w:bidi="en-US" w:eastAsia="en-US"/>
        </w:rPr>
        <w:t xml:space="preserve">-3-1.1, </w:t>
      </w:r>
      <w:r>
        <w:rPr>
          <w:rFonts w:ascii="Times New Roman" w:hAnsi="Times New Roman"/>
          <w:sz w:val="24"/>
        </w:rPr>
        <w:t>10-3-1.2.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alignTablesRowByRow/>
    <w:splitPgBreakAndParaMark/>
    <w:growAutofit/>
    <w:compatSetting w:name="compatibilityMode" w:uri="http://schemas.microsoft.com/office/word" w:val="12"/>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rPr>
      <w:rFonts w:ascii="Times" w:hAnsi="Times"/>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lrpr13879</dc:creator>
  <dcterms:created xsi:type="dcterms:W3CDTF">2004-10-07T21:49:00Z</dcterms:created>
  <cp:lastModifiedBy>Rhonda Purkapile</cp:lastModifiedBy>
  <dcterms:modified xsi:type="dcterms:W3CDTF">2020-12-08T15:40:47Z</dcterms:modified>
  <cp:revision>3</cp:revision>
</cp:coreProperties>
</file>