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2C4" w:rsidRDefault="00C432C4" w:rsidP="00F449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>:20.  Credit -- Membership in professional organizations.</w:t>
      </w:r>
      <w:r>
        <w:rPr>
          <w:rFonts w:ascii="Times New Roman" w:hAnsi="Times New Roman"/>
          <w:sz w:val="24"/>
        </w:rPr>
        <w:t xml:space="preserve"> Repealed.</w:t>
      </w:r>
    </w:p>
    <w:p w:rsidR="00C432C4" w:rsidRDefault="00C432C4" w:rsidP="00F449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432C4" w:rsidRDefault="00C432C4" w:rsidP="00F449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December 8, 1975; 3 SDR 10, effective August 17, 1976; 7 SDR 30, effective October 5, 1980; 13 SDR 129, 13 SDR 134, effective July 1, 1987; 21 SDR 219, effective July 1, 1995; repealed, 24 SDR 180, effective July 1, 1998.</w:t>
      </w:r>
    </w:p>
    <w:p w:rsidR="00C432C4" w:rsidRDefault="00C432C4" w:rsidP="00F449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432C4" w:rsidSect="00C432C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432C4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4943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494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2004-10-07T21:50:00Z</dcterms:created>
  <dcterms:modified xsi:type="dcterms:W3CDTF">2004-10-07T21:50:00Z</dcterms:modified>
</cp:coreProperties>
</file>