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DE2" w:rsidRDefault="009A0DE2" w:rsidP="00326B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:21.  Credit -- Professional registration.</w:t>
      </w:r>
      <w:r>
        <w:rPr>
          <w:rFonts w:ascii="Times New Roman" w:hAnsi="Times New Roman"/>
          <w:sz w:val="24"/>
        </w:rPr>
        <w:t xml:space="preserve"> Repealed.</w:t>
      </w:r>
    </w:p>
    <w:p w:rsidR="009A0DE2" w:rsidRDefault="009A0DE2" w:rsidP="00326B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0DE2" w:rsidRDefault="009A0DE2" w:rsidP="00326B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9 SDR 28, effective September 5, 1982; 13 SDR 129, 13 SDR 134, effective July 1, 1987; 21 SDR 219, effective July 1, 1995; repealed, 24 SDR 180, effective July 1, 1998.</w:t>
      </w:r>
    </w:p>
    <w:p w:rsidR="009A0DE2" w:rsidRDefault="009A0DE2" w:rsidP="00326B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0DE2" w:rsidSect="009A0DE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26BE7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A0DE2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6BE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2004-10-07T21:51:00Z</dcterms:created>
  <dcterms:modified xsi:type="dcterms:W3CDTF">2004-10-07T21:51:00Z</dcterms:modified>
</cp:coreProperties>
</file>