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64:02:03:18.  Renewal of expired certification certificate.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24 SDR 180, effective July 1, 1998; 26 SDR 18, effective August 19, 1999</w:t>
      </w:r>
      <w:r>
        <w:rPr>
          <w:rFonts w:ascii="Times New Roman" w:hAnsi="Times New Roman"/>
          <w:sz w:val="24"/>
          <w:lang w:val="en-US" w:bidi="en-US" w:eastAsia="en-US"/>
        </w:rPr>
        <w:t>; 4</w:t>
      </w:r>
      <w:r>
        <w:rPr>
          <w:rFonts w:ascii="Times New Roman" w:hAnsi="Times New Roman"/>
          <w:sz w:val="24"/>
          <w:lang w:val="en-US" w:bidi="en-US" w:eastAsia="en-US"/>
        </w:rPr>
        <w:t>7 SDR 71, effective December 10,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2004-10-07T21:58:00Z</dcterms:created>
  <cp:lastModifiedBy>Rhonda Purkapile</cp:lastModifiedBy>
  <dcterms:modified xsi:type="dcterms:W3CDTF">2020-12-08T18:55:25Z</dcterms:modified>
  <cp:revision>3</cp:revision>
</cp:coreProperties>
</file>