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64:04:01:06.01.  Certificate of value.</w:t>
      </w:r>
      <w:r>
        <w:rPr>
          <w:sz w:val="24"/>
        </w:rPr>
        <w:t xml:space="preserve"> The form for the certificate of value required by SDCL 7-9-7</w:t>
      </w:r>
      <w:r>
        <w:rPr>
          <w:sz w:val="24"/>
          <w:lang w:val="en-US" w:bidi="en-US" w:eastAsia="en-US"/>
        </w:rPr>
        <w:t xml:space="preserve"> and 10-13-40</w:t>
      </w:r>
      <w:r>
        <w:rPr>
          <w:sz w:val="24"/>
        </w:rPr>
        <w:t xml:space="preserve"> is</w:t>
      </w:r>
      <w:r>
        <w:rPr>
          <w:sz w:val="24"/>
          <w:lang w:val="en-US" w:bidi="en-US" w:eastAsia="en-US"/>
        </w:rPr>
        <w:t xml:space="preserve"> the</w:t>
      </w:r>
      <w:r>
        <w:rPr>
          <w:sz w:val="24"/>
        </w:rPr>
        <w:t xml:space="preserve"> PT-56</w:t>
      </w:r>
      <w:r>
        <w:rPr>
          <w:sz w:val="24"/>
          <w:lang w:val="en-US" w:bidi="en-US" w:eastAsia="en-US"/>
        </w:rPr>
        <w:t>. T</w:t>
      </w:r>
      <w:r>
        <w:rPr>
          <w:sz w:val="24"/>
        </w:rPr>
        <w:t>he form must include the following: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(1)  The name, current and new mailing addresses, and phone numbers of the buyers and sellers;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(2)  The legal description and, for unplatted properties, the number of acres;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(3)  If the property is owner-occupied</w:t>
      </w:r>
      <w:r>
        <w:rPr>
          <w:sz w:val="24"/>
        </w:rPr>
        <w:t xml:space="preserve"> and is the property occupied by the buyer on a certain date;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(4)  If the buyer will have owner-occupied status;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(5)  If the property was offered for sale to the general public</w:t>
      </w:r>
      <w:r>
        <w:rPr>
          <w:sz w:val="24"/>
        </w:rPr>
        <w:t xml:space="preserve"> and </w:t>
      </w:r>
      <w:r>
        <w:rPr>
          <w:sz w:val="24"/>
          <w:lang w:val="en-US" w:bidi="en-US" w:eastAsia="en-US"/>
        </w:rPr>
        <w:t>whether</w:t>
      </w:r>
      <w:r>
        <w:rPr>
          <w:sz w:val="24"/>
        </w:rPr>
        <w:t xml:space="preserve"> the property</w:t>
      </w:r>
      <w:r>
        <w:rPr>
          <w:sz w:val="24"/>
          <w:lang w:val="en-US" w:bidi="en-US" w:eastAsia="en-US"/>
        </w:rPr>
        <w:t xml:space="preserve"> was</w:t>
      </w:r>
      <w:r>
        <w:rPr>
          <w:sz w:val="24"/>
        </w:rPr>
        <w:t xml:space="preserve"> sold by the owner or an agent;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(6)  If there existed a relationship between the buyer and seller, and the actual consideration exchanged;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>(7)  Any major item of personal property and the property's value that was included in the total purchase price and the adjusted price paid for the real estate;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 xml:space="preserve">(8)  The </w:t>
      </w:r>
      <w:r>
        <w:rPr>
          <w:sz w:val="24"/>
          <w:lang w:val="en-US" w:bidi="en-US" w:eastAsia="en-US"/>
        </w:rPr>
        <w:t>terms of payment, if not paid in full at the time of sale</w:t>
      </w:r>
      <w:r>
        <w:rPr>
          <w:sz w:val="24"/>
        </w:rPr>
        <w:t>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 xml:space="preserve">(9)  The signature of </w:t>
      </w:r>
      <w:r>
        <w:rPr>
          <w:sz w:val="24"/>
          <w:lang w:val="en-US" w:bidi="en-US" w:eastAsia="en-US"/>
        </w:rPr>
        <w:t>one party or agent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17 SDR 199, effective July 1, 1991; 21 SDR 219, effective July 1, 1995; 26 SDR 18, effective August 19, 1999</w:t>
      </w:r>
      <w:r>
        <w:rPr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7 SDR 71, effective December 10, 2020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7-9-7.2, 10-6-33.13(1).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7-9-7(4), 7-9-7.2.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Note:</w:t>
      </w:r>
      <w:r>
        <w:rPr>
          <w:sz w:val="24"/>
        </w:rPr>
        <w:t xml:space="preserve"> PT-56 is available in the register of deeds office in each county.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2004-10-21T20:09:00Z</dcterms:created>
  <cp:lastModifiedBy>Rhonda Purkapile</cp:lastModifiedBy>
  <dcterms:modified xsi:type="dcterms:W3CDTF">2020-12-08T19:33:04Z</dcterms:modified>
  <cp:revision>3</cp:revision>
</cp:coreProperties>
</file>