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C4677C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64:04:01:13.03.  Definition of owner.</w:t>
      </w:r>
      <w:r>
        <w:rPr>
          <w:sz w:val="24"/>
        </w:rPr>
        <w:t xml:space="preserve"> </w:t>
      </w:r>
      <w:r>
        <w:rPr>
          <w:sz w:val="24"/>
          <w:lang w:val="en-US" w:bidi="en-US" w:eastAsia="en-US"/>
        </w:rPr>
        <w:t>Repealed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22 SDR 5, effective July 23, 1995; 24 SDR 31, effective September 17, 1997; 28 SDR 69, effective November 21, 2001</w:t>
      </w:r>
      <w:r>
        <w:rPr>
          <w:sz w:val="24"/>
          <w:lang w:val="en-US" w:bidi="en-US" w:eastAsia="en-US"/>
        </w:rPr>
        <w:t xml:space="preserve">; SL 2017, ch 64,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2, effective Jul</w:t>
      </w:r>
      <w:r>
        <w:rPr>
          <w:rFonts w:ascii="Times New Roman" w:hAnsi="Times New Roman"/>
          <w:sz w:val="24"/>
          <w:lang w:val="en-US" w:bidi="en-US" w:eastAsia="en-US"/>
        </w:rPr>
        <w:t>y 1, 2017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