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64:04:01:13.06.  Notification of property owner.</w:t>
      </w:r>
      <w:r>
        <w:rPr>
          <w:sz w:val="24"/>
        </w:rPr>
        <w:t xml:space="preserve"> If the owner-occupied classification is going to be removed from a property, the director of equalization shall notify the property owner. </w:t>
      </w:r>
      <w:r>
        <w:rPr>
          <w:sz w:val="24"/>
        </w:rPr>
        <w:t xml:space="preserve">The director of equalization shall </w:t>
      </w:r>
      <w:r>
        <w:rPr>
          <w:sz w:val="24"/>
          <w:lang w:val="en-US" w:bidi="en-US" w:eastAsia="en-US"/>
        </w:rPr>
        <w:t>notify the property owner</w:t>
      </w:r>
      <w:r>
        <w:rPr>
          <w:sz w:val="24"/>
        </w:rPr>
        <w:t xml:space="preserve"> by the last Friday in March of each year.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27 SDR 9, effective August 7, 2000; 30 SDR 58, effective November 5, 2003</w:t>
      </w:r>
      <w:r>
        <w:rPr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7 SDR 71, effective December 10, 2020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General Authority:</w:t>
      </w:r>
      <w:r>
        <w:rPr>
          <w:sz w:val="24"/>
        </w:rPr>
        <w:t xml:space="preserve"> SDCL 10-10-6.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Law Implemented:</w:t>
      </w:r>
      <w:r>
        <w:rPr>
          <w:sz w:val="24"/>
        </w:rPr>
        <w:t xml:space="preserve"> SDCL 10-1-15, 10-1-16</w:t>
      </w:r>
      <w:r>
        <w:rPr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2004-10-21T20:12:00Z</dcterms:created>
  <cp:lastModifiedBy>Rhonda Purkapile</cp:lastModifiedBy>
  <dcterms:modified xsi:type="dcterms:W3CDTF">2020-12-08T19:41:08Z</dcterms:modified>
  <cp:revision>3</cp:revision>
</cp:coreProperties>
</file>