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b/>
          </w:rPr>
          <w:t>06:01</w:t>
        </w:r>
      </w:smartTag>
      <w:r>
        <w:rPr>
          <w:b/>
        </w:rPr>
        <w:t>:35.05.  Use of other records to verify audits.</w:t>
      </w:r>
      <w:r>
        <w:t xml:space="preserve"> For auditing purposes, the auditor may refer to other records to determine the tax liability of the taxpayer, as follows: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When the gross sales records are inadequate, the auditor may refer to the following records: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Federal income tax returns;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Bank statements, including checks, deposit slips, and bank records of loans;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Purchase invoices or journals;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(d)  Gross profit tests based on expenses and withdrawals; and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(e)  Cash transactions;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When the gross taxable sales records are inadequate, the auditor may use the following methods of verifying the taxable sales: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Using purchase invoices or journals plus an acceptable industry markup;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Computing the ratio of gross taxable sales to gross sales from a like business and applying this ratio to gross sales;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Using a percentage markup based on like businesses; and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(d)  Using other indirect methods gener</w:t>
      </w:r>
      <w:smartTag w:uri="urn:schemas-microsoft-com:office:smarttags" w:element="PersonName">
        <w:r>
          <w:t>all</w:t>
        </w:r>
      </w:smartTag>
      <w:r>
        <w:t>y accepted under accounting principles; and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Records the auditor may use to verify the deductions taken by the taxpayer include the following: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Invoices for sale for resale;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Invoices for exempt sales;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Invoices for out-of-state sales;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(d)  Freight bills showing out-of-state deliveries;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 xml:space="preserve">(e)  Invoices for returns and </w:t>
      </w:r>
      <w:smartTag w:uri="urn:schemas-microsoft-com:office:smarttags" w:element="PersonName">
        <w:r>
          <w:t>all</w:t>
        </w:r>
      </w:smartTag>
      <w:r>
        <w:t>owances; and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(f)  Worksheets for bad debts; and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Records the auditor may use to verify the use tax purchases include the following;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Purchase invoices;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Disbursements journals or check registers; and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Depreciation schedules.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15 SDR 58, effective October 19, 1988; 21 SDR 219, effective July 1, 1995; 27 SDR 9, effective August 7, 2000; 28 SDR 178, effective July 1, 2002; 32 SDR 225, effective July 3, 2006.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10-45-47.1(5), 10-45D-13(5), 10-46-35.1(5), 10-46E-11(4), 10-52-4, 10-52A-7(5), 49-31-51.1(4).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10-46-43,</w:t>
      </w:r>
      <w:r w:rsidRPr="00084172">
        <w:t xml:space="preserve"> </w:t>
      </w:r>
      <w:r>
        <w:t>10-46E-8, 10-52-4, 10-52A-6, 49-31-51.1(4).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Cross-Reference:</w:t>
      </w:r>
      <w:r>
        <w:t xml:space="preserve"> Accounting principles, § </w:t>
      </w:r>
      <w:smartTag w:uri="urn:schemas-microsoft-com:office:smarttags" w:element="time">
        <w:smartTagPr>
          <w:attr w:name="Minute" w:val="37"/>
          <w:attr w:name="Hour" w:val="20"/>
        </w:smartTagPr>
        <w:r>
          <w:t>20:37:11:08</w:t>
        </w:r>
      </w:smartTag>
      <w:r>
        <w:t>.</w:t>
      </w:r>
    </w:p>
    <w:p w:rsidR="00AA4CC3" w:rsidRDefault="00AA4CC3" w:rsidP="003314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A4CC3" w:rsidSect="00AA4CC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84172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1458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A4CC3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1458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305</Words>
  <Characters>1741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2006-06-26T20:02:00Z</dcterms:created>
  <dcterms:modified xsi:type="dcterms:W3CDTF">2006-06-26T20:02:00Z</dcterms:modified>
</cp:coreProperties>
</file>