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FEB" w:rsidRDefault="001A0FEB" w:rsidP="00C579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b/>
          </w:rPr>
          <w:t>06:01</w:t>
        </w:r>
      </w:smartTag>
      <w:r>
        <w:rPr>
          <w:b/>
        </w:rPr>
        <w:t>:39.02.  Monthly filing.</w:t>
      </w:r>
      <w:r>
        <w:t xml:space="preserve"> Taxpayers required to file monthly, as set forth in SDCL 10-46E-8, 10-45-27.3, and 10-52A-4.2, sh</w:t>
      </w:r>
      <w:smartTag w:uri="urn:schemas-microsoft-com:office:smarttags" w:element="PersonName">
        <w:r>
          <w:t>all</w:t>
        </w:r>
      </w:smartTag>
      <w:r>
        <w:t xml:space="preserve"> remain on the monthly filing system for a minimum period of two years.</w:t>
      </w:r>
    </w:p>
    <w:p w:rsidR="001A0FEB" w:rsidRDefault="001A0FEB" w:rsidP="00C579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0FEB" w:rsidRDefault="001A0FEB" w:rsidP="00C579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Taxpayers with bimonthly taxes of more than $166.66 and taxpayers with monthly taxes of more than $83.33 must file monthly.</w:t>
      </w:r>
    </w:p>
    <w:p w:rsidR="001A0FEB" w:rsidRDefault="001A0FEB" w:rsidP="00C579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0FEB" w:rsidRDefault="001A0FEB" w:rsidP="00C579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17 SDR 4, effective July 18, 1990; 21 SDR 219, effective July 1, 1995; 28 SDR 178, effective July 1, 2002; 32 SDR 225, effective July 3, 2006; 33 SDR 226, effective June 27, 2007; 35 SDR 48, effective September 8, 2008.</w:t>
      </w:r>
    </w:p>
    <w:p w:rsidR="001A0FEB" w:rsidRDefault="001A0FEB" w:rsidP="00C579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10-45-47.1(2), 10-45D-13(2), 10-46E-11(2), 10-52A-7(2).</w:t>
      </w:r>
    </w:p>
    <w:p w:rsidR="001A0FEB" w:rsidRDefault="001A0FEB" w:rsidP="00C579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10-45D-12, 10-45-27.3, 10-46E-8, 10-52A-4.2.</w:t>
      </w:r>
    </w:p>
    <w:p w:rsidR="001A0FEB" w:rsidRDefault="001A0FEB" w:rsidP="00C579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A0FEB" w:rsidSect="001A0FE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0FEB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0134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5793B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93B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106</Words>
  <Characters>606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2008-09-07T16:51:00Z</dcterms:created>
  <dcterms:modified xsi:type="dcterms:W3CDTF">2008-09-08T15:22:00Z</dcterms:modified>
</cp:coreProperties>
</file>