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64:06:01:41.  Returned merchandise.</w:t>
      </w:r>
      <w:r>
        <w:t xml:space="preserve"> If a retailer sells tangible personal property or any product transferred electronically and the goods are returned by the cus</w:t>
      </w:r>
      <w:smartTag w:uri="urn:schemas-microsoft-com:office:smarttags" w:element="PersonName">
        <w:r>
          <w:t>tom</w:t>
        </w:r>
      </w:smartTag>
      <w:r>
        <w:t>er, the transaction is handled as follows: (1)  If the retailer has included in gross sales the total selling price of the property and has remitted sales tax to the department, the retailer may claim a credit as returned goods for the amount of the sale on a subsequent sales and use tax return if sales tax was returned to the purchaser at the time the goods were returned; and (2)  If a retailer makes a time sale and has included in the gross receipts only the amount of each payment actu</w:t>
      </w:r>
      <w:smartTag w:uri="urn:schemas-microsoft-com:office:smarttags" w:element="PersonName">
        <w:r>
          <w:t>all</w:t>
        </w:r>
      </w:smartTag>
      <w:r>
        <w:t>y received from the time sale, the retailer may claim a credit as returned goods on a subsequent sales and use tax return the amount of the sale reported on prior sales and use tax returns if the retailer has returned to the cus</w:t>
      </w:r>
      <w:smartTag w:uri="urn:schemas-microsoft-com:office:smarttags" w:element="PersonName">
        <w:r>
          <w:t>tom</w:t>
        </w:r>
      </w:smartTag>
      <w:r>
        <w:t>er the tax which the retailer collected on payments previously received from the cus</w:t>
      </w:r>
      <w:smartTag w:uri="urn:schemas-microsoft-com:office:smarttags" w:element="PersonName">
        <w:r>
          <w:t>tom</w:t>
        </w:r>
      </w:smartTag>
      <w:r>
        <w:t>er.</w:t>
      </w:r>
    </w:p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13 SDR 129, 13 SDR 134, effective July 1, 1987; 21 SDR 219, effective July 1, 1995; 28 SDR 178, effective July 1, 2002; 32 SDR 225, effective July 3, 2006; 35 SDR 48, effective September 8, 2008.</w:t>
      </w:r>
    </w:p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10-45-47.1(2), 10-45D-13(3), 10-46E-11(3), 10-52A-7(3).</w:t>
      </w:r>
    </w:p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10-45-29, 10-45D-12, 10-46E-8, 10-52A-6.</w:t>
      </w:r>
    </w:p>
    <w:p w:rsidR="00292C6E" w:rsidRDefault="00292C6E" w:rsidP="00E72C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92C6E" w:rsidSect="00292C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2C6E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2C10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10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202</Words>
  <Characters>1154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2008-09-07T16:53:00Z</dcterms:created>
  <dcterms:modified xsi:type="dcterms:W3CDTF">2008-09-07T16:53:00Z</dcterms:modified>
</cp:coreProperties>
</file>