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64:06:01:43.  Sales by loan or finance companies.</w:t>
      </w:r>
      <w:r>
        <w:t xml:space="preserve"> Companies who repossess or acquire tangible personal property or any product transferred electronically in connection with their loan or finance business and who sell such property at retail are required to pay sales tax on the receipts.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Source:</w:t>
      </w:r>
      <w:r>
        <w:t xml:space="preserve"> SL 1975, ch 16, § 1; 13 SDR 129, 13 SDR 134, effective July 1, 1987; 21 SDR 219, effective July 1, 1995; 35 SDR 48, effective September 8, 2008.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General Authority:</w:t>
      </w:r>
      <w:r>
        <w:t xml:space="preserve"> SDCL 10-45-47.1(3).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Law Implemented:</w:t>
      </w:r>
      <w:r>
        <w:t xml:space="preserve"> SDCL 10-45-2, 10-45</w:t>
      </w:r>
      <w:r>
        <w:rPr>
          <w:lang w:val="en-US" w:bidi="en-US" w:eastAsia="en-US"/>
        </w:rPr>
        <w:t>-</w:t>
      </w:r>
      <w:r>
        <w:t>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sectPr>
      <w:type w:val="nextPage"/>
      <w:pgMar w:left="1800" w:right="180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splitPgBreakAndParaMark/>
    <w:growAutofi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sz w:val="24"/>
      <w:szCs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lrpr14533</dc:creator>
  <dcterms:created xsi:type="dcterms:W3CDTF">2008-09-07T16:58:00Z</dcterms:created>
  <cp:lastModifiedBy>Justin Goetz</cp:lastModifiedBy>
  <dcterms:modified xsi:type="dcterms:W3CDTF">2025-05-12T16:14:44Z</dcterms:modified>
  <cp:revision>2</cp:revision>
</cp:coreProperties>
</file>