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64:09:01:12.  Packing containers subject to use tax.</w:t>
      </w:r>
      <w:r>
        <w:rPr>
          <w:rFonts w:ascii="Times New Roman" w:hAnsi="Times New Roman"/>
          <w:sz w:val="24"/>
        </w:rPr>
        <w:t xml:space="preserve"> Repealed.</w:t>
      </w:r>
    </w:p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23 SDR 118, effective </w:t>
      </w:r>
      <w:smartTag w:uri="urn:schemas-microsoft-com:office:smarttags" w:element="date">
        <w:smartTagPr>
          <w:attr w:name="Year" w:val="1997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January 27, 1997</w:t>
        </w:r>
      </w:smartTag>
      <w:r>
        <w:rPr>
          <w:rFonts w:ascii="Times New Roman" w:hAnsi="Times New Roman"/>
          <w:sz w:val="24"/>
        </w:rPr>
        <w:t>.</w:t>
      </w:r>
    </w:p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Application of use tax to specific products and services, art 64:06.</w:t>
      </w:r>
    </w:p>
    <w:p w:rsidR="00AE7FB3" w:rsidRDefault="00AE7FB3" w:rsidP="007840C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7FB3" w:rsidSect="00AE7FB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840C0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AE7FB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40C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2004-10-28T19:40:00Z</dcterms:created>
  <dcterms:modified xsi:type="dcterms:W3CDTF">2004-10-28T19:40:00Z</dcterms:modified>
</cp:coreProperties>
</file>