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64:26:03:13.  Filing of separate returns of financial institutions.</w:t>
      </w:r>
      <w:r>
        <w:rPr>
          <w:rFonts w:ascii="Times New Roman" w:hAnsi="Times New Roman" w:cs="Times New Roman"/>
          <w:sz w:val="24"/>
          <w:szCs w:val="24"/>
        </w:rPr>
        <w:t xml:space="preserve"> To determine if financial institutions sharing a common parent, such as a bank holding company, shall be required to file separate returns, the secretary shall consider the following factors: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  Whether there is a separate charter for each financial institution;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  The extent of the flow of goods and services between an institution and its parent;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  Whether management oversight by the parent is limited to strategic decisions affecting the operation of all subsidiaries generally, not individual institutions;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  Whether there would be distortion of county income through the use of loss deductions incurred by institutions not doing business in the affected county;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(5)  The presence or absence of common administrative officers or procedures; or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(6)  Whether each institution is conducting business in a manner consistent with separate entities.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16 SDR 76, effective </w:t>
      </w:r>
      <w:smartTag w:uri="urn:schemas-microsoft-com:office:smarttags" w:element="date">
        <w:smartTagPr>
          <w:attr w:name="Year" w:val="1989"/>
          <w:attr w:name="Day" w:val="1"/>
          <w:attr w:name="Month" w:val="11"/>
        </w:smartTagPr>
        <w:r>
          <w:rPr>
            <w:rFonts w:ascii="Times New Roman" w:hAnsi="Times New Roman" w:cs="Times New Roman"/>
            <w:sz w:val="24"/>
            <w:szCs w:val="24"/>
          </w:rPr>
          <w:t>November 1, 1989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10-43-42.1.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10-43-36.</w:t>
      </w:r>
    </w:p>
    <w:p w:rsidR="00495FE1" w:rsidRDefault="00495FE1" w:rsidP="003017F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95FE1" w:rsidSect="00495F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17FA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495FE1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EC39C0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FA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157</Words>
  <Characters>899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2004-10-28T20:13:00Z</dcterms:created>
  <dcterms:modified xsi:type="dcterms:W3CDTF">2004-10-28T20:13:00Z</dcterms:modified>
</cp:coreProperties>
</file>