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274DD8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12:53:01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COMMERCIAL FEEDS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12:53:01:02</w:t>
        <w:tab/>
        <w:tab/>
        <w:t>Guidelines for commercial feeds.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12:53:01:06</w:t>
        <w:tab/>
        <w:tab/>
        <w:t>Commercial feed stored in bulk to be labeled.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12:53:01:08</w:t>
        <w:tab/>
        <w:tab/>
        <w:t>Water to be listed as ingredient when part of liquid protein supplement.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12:53:01:09</w:t>
        <w:tab/>
        <w:tab/>
        <w:t>Liquid feed labels to state guarantees for maximum moisture content.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12:53:01:10</w:t>
        <w:tab/>
        <w:tab/>
        <w:t>Weed seed tolerance in commercial feeds.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12:53:01:12</w:t>
        <w:tab/>
        <w:tab/>
        <w:t>Requirements for direct-fed microbial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12:53:01:13</w:t>
        <w:tab/>
        <w:tab/>
        <w:t>Commercial feed tonnage inspection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12:53:01:17</w:t>
        <w:tab/>
        <w:tab/>
        <w:t>Disposition of spilled feed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12:53:01:18</w:t>
        <w:tab/>
        <w:tab/>
        <w:t>Maximum sulfur percentage required on label of distillers products and corn gluten feed.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