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12:53:01:01.  Definitions.</w:t>
      </w:r>
      <w:r>
        <w:rPr>
          <w:rFonts w:ascii="Times New Roman" w:hAnsi="Times New Roman"/>
          <w:sz w:val="24"/>
        </w:rPr>
        <w:t xml:space="preserve"> Words defined in SDCL 39-14-39 have the same meaning when used in this article. In addition,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"Secretary," the secretary of the South Dakota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epartment of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griculture</w:t>
      </w:r>
      <w:r>
        <w:rPr>
          <w:rFonts w:ascii="Times New Roman" w:hAnsi="Times New Roman"/>
          <w:sz w:val="24"/>
          <w:lang w:val="en-US" w:bidi="en-US" w:eastAsia="en-US"/>
        </w:rPr>
        <w:t xml:space="preserve"> and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  <w:lang w:val="en-US" w:bidi="en-US" w:eastAsia="en-US"/>
        </w:rPr>
        <w:t>atural Resources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effective December 26, 1982; 12 SDR 128, 12 SDR 154, effective July 1, 1986</w:t>
      </w:r>
      <w:r>
        <w:rPr>
          <w:rFonts w:ascii="Times New Roman" w:hAnsi="Times New Roman"/>
          <w:sz w:val="24"/>
          <w:lang w:val="en-US" w:bidi="en-US" w:eastAsia="en-US"/>
        </w:rPr>
        <w:t>; SL 2021, ch 1, §§ 8, 19,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39-14-60.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2004-06-04T16:41:00Z</dcterms:created>
  <cp:lastModifiedBy>Rhonda Purkapile</cp:lastModifiedBy>
  <dcterms:modified xsi:type="dcterms:W3CDTF">2021-03-17T21:24:07Z</dcterms:modified>
  <cp:revision>3</cp:revision>
</cp:coreProperties>
</file>