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64:27:01:15.  Leasing expenditures deductible.</w:t>
      </w:r>
      <w:r>
        <w:rPr>
          <w:rFonts w:ascii="Times New Roman" w:hAnsi="Times New Roman" w:cs="Times New Roman"/>
          <w:sz w:val="24"/>
          <w:szCs w:val="24"/>
        </w:rPr>
        <w:t xml:space="preserve"> Cost of leasing or renting property for the purpose of extracting minerals or mineral products is deductible as a cost of extraction.</w:t>
      </w:r>
    </w:p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10-39-45.2(1).</w:t>
      </w:r>
    </w:p>
    <w:p w:rsidR="00FE35DE" w:rsidRDefault="00FE35DE" w:rsidP="00A715A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FE35DE" w:rsidSect="00FE35D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715A1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  <w:rsid w:val="00FE3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5A1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2004-10-28T22:00:00Z</dcterms:created>
  <dcterms:modified xsi:type="dcterms:W3CDTF">2004-10-28T22:00:00Z</dcterms:modified>
</cp:coreProperties>
</file>