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2A6E" w:rsidRDefault="00B02A6E" w:rsidP="00C77A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3"/>
          <w:attr w:name="Hour" w:val="12"/>
        </w:smartTagPr>
        <w:r>
          <w:rPr>
            <w:rFonts w:ascii="Times New Roman" w:hAnsi="Times New Roman"/>
            <w:b/>
            <w:sz w:val="24"/>
          </w:rPr>
          <w:t>12:53:02</w:t>
        </w:r>
      </w:smartTag>
      <w:r>
        <w:rPr>
          <w:rFonts w:ascii="Times New Roman" w:hAnsi="Times New Roman"/>
          <w:b/>
          <w:sz w:val="24"/>
        </w:rPr>
        <w:t>:03.  Final decision.</w:t>
      </w:r>
      <w:r>
        <w:rPr>
          <w:rFonts w:ascii="Times New Roman" w:hAnsi="Times New Roman"/>
          <w:sz w:val="24"/>
        </w:rPr>
        <w:t xml:space="preserve"> The secretary shall issue a final decision in a contested case hearing within 20 days after the hearing. The secretary may take an additional 10 days to issue his final decision upon written notice to all parties.</w:t>
      </w:r>
    </w:p>
    <w:p w:rsidR="00B02A6E" w:rsidRDefault="00B02A6E" w:rsidP="00C77A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2A6E" w:rsidRDefault="00B02A6E" w:rsidP="00C77A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9 SDR 81, effective </w:t>
      </w:r>
      <w:smartTag w:uri="urn:schemas-microsoft-com:office:smarttags" w:element="date">
        <w:smartTagPr>
          <w:attr w:name="Year" w:val="1982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1982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B02A6E" w:rsidRDefault="00B02A6E" w:rsidP="00C77A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39-14-60.</w:t>
      </w:r>
    </w:p>
    <w:p w:rsidR="00B02A6E" w:rsidRDefault="00B02A6E" w:rsidP="00C77A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39-14-42.</w:t>
      </w:r>
    </w:p>
    <w:p w:rsidR="00B02A6E" w:rsidRDefault="00B02A6E" w:rsidP="00C77A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02A6E" w:rsidSect="00B02A6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02A6E"/>
    <w:rsid w:val="00C23245"/>
    <w:rsid w:val="00C626B9"/>
    <w:rsid w:val="00C77A68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7A6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61</Words>
  <Characters>350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2004-06-04T16:49:00Z</dcterms:created>
  <dcterms:modified xsi:type="dcterms:W3CDTF">2004-06-04T16:49:00Z</dcterms:modified>
</cp:coreProperties>
</file>