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55:06</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LONGEVITY COMPENSATION</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55:06:01</w:t>
      </w:r>
      <w:r>
        <w:rPr>
          <w:rFonts w:ascii="Times New Roman" w:hAnsi="Times New Roman"/>
          <w:sz w:val="24"/>
        </w:rPr>
        <w:tab/>
      </w:r>
      <w:r>
        <w:rPr>
          <w:rFonts w:ascii="Times New Roman" w:hAnsi="Times New Roman"/>
          <w:sz w:val="24"/>
        </w:rPr>
        <w:tab/>
      </w:r>
      <w:r>
        <w:rPr>
          <w:rFonts w:ascii="Times New Roman" w:hAnsi="Times New Roman"/>
          <w:sz w:val="24"/>
        </w:rPr>
        <w:tab/>
        <w:t>Eligibility requirements.</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55:06:01</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ELIGIBILITY REQUIREMENTS</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55:06:01:01</w:t>
      </w:r>
      <w:r>
        <w:rPr>
          <w:rFonts w:ascii="Times New Roman" w:hAnsi="Times New Roman"/>
          <w:sz w:val="24"/>
        </w:rPr>
        <w:tab/>
      </w:r>
      <w:r>
        <w:rPr>
          <w:rFonts w:ascii="Times New Roman" w:hAnsi="Times New Roman"/>
          <w:sz w:val="24"/>
        </w:rPr>
        <w:tab/>
        <w:t>Eligibility for longevity compensation.</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55:06:01:02</w:t>
      </w:r>
      <w:r>
        <w:rPr>
          <w:rFonts w:ascii="Times New Roman" w:hAnsi="Times New Roman"/>
          <w:sz w:val="24"/>
        </w:rPr>
        <w:tab/>
      </w:r>
      <w:r>
        <w:rPr>
          <w:rFonts w:ascii="Times New Roman" w:hAnsi="Times New Roman"/>
          <w:sz w:val="24"/>
        </w:rPr>
        <w:tab/>
        <w:t>One longevity check each fiscal year.</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55:06:01:03</w:t>
      </w:r>
      <w:r>
        <w:rPr>
          <w:rFonts w:ascii="Times New Roman" w:hAnsi="Times New Roman"/>
          <w:sz w:val="24"/>
        </w:rPr>
        <w:tab/>
      </w:r>
      <w:r>
        <w:rPr>
          <w:rFonts w:ascii="Times New Roman" w:hAnsi="Times New Roman"/>
          <w:sz w:val="24"/>
        </w:rPr>
        <w:tab/>
        <w:t>Special categories of eligibility.</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55:06:01:04</w:t>
      </w:r>
      <w:r>
        <w:rPr>
          <w:rFonts w:ascii="Times New Roman" w:hAnsi="Times New Roman"/>
          <w:sz w:val="24"/>
        </w:rPr>
        <w:tab/>
      </w:r>
      <w:r>
        <w:rPr>
          <w:rFonts w:ascii="Times New Roman" w:hAnsi="Times New Roman"/>
          <w:sz w:val="24"/>
        </w:rPr>
        <w:tab/>
        <w:t>Hire date -- Proof of prior service.</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55:06:01:01.  Eligibility for longevity compensation.</w:t>
      </w:r>
      <w:r>
        <w:rPr>
          <w:rFonts w:ascii="Times New Roman" w:hAnsi="Times New Roman"/>
          <w:sz w:val="24"/>
        </w:rPr>
        <w:t xml:space="preserve"> An employee not excluded by SDCL 3-8-13 is eligible to receive longevity pay for each full year of employment if the employee is eligible to receive employee benefits under SDCL chapters 3-12 and 3-6E and is customarily employed for 20 hours or more a week at least 6 months a year.</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4, effective July 17, 1991; 38 SDR 213, effective July 1, 2012.</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3-8-13.</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3-8-13.</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55:06:01:02.  One longevity check each fiscal year.</w:t>
      </w:r>
      <w:r>
        <w:rPr>
          <w:rFonts w:ascii="Times New Roman" w:hAnsi="Times New Roman"/>
          <w:sz w:val="24"/>
        </w:rPr>
        <w:t xml:space="preserve"> An eligible employee may receive only one longevity payment each fiscal year. The longevity pay date for an employee who has continuous service is the date on which the employee's service equals a full year of service. The longevity payment shall be paid within the pay period for which the employee's annual year of service date occurs. The longevity pay date for an employee who has had a break in service is the date that the employee's prior service plus the current service equals a full year of service.</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4, effective July 17, 1991; 21 SDR 230 and 22 SDR 2, effective July 9, 1995; 39 SDR 99, effective December 3, 2012.</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3-8-13.</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3-8-13.</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55:06:01:03.  Special categories of eligibility.</w:t>
      </w:r>
      <w:r>
        <w:rPr>
          <w:rFonts w:ascii="Times New Roman" w:hAnsi="Times New Roman"/>
          <w:sz w:val="24"/>
        </w:rPr>
        <w:t xml:space="preserve"> An eligible employee who has terminated employment with the state and is on annual leave when the employee's longevity pay date occurs shall receive the full longevity compensation payment to which the employee is entitled. If an eligible employee retires, is laid off, or dies before reaching the longevity pay date for the fiscal year, the employee shall receive a prorated longevity compensation payment based on the number of full calendar months that the employee worked or was on terminal annual leave. Prorated longevity compensation shall be calculated using the period from the previous longevity payment date to the employee's last paid date on payroll.</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4, effective July 17, 1991; 21 SDR 230 and 22 SDR 2, effective July 9, 1995.</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3-8-13.</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3-8-13.</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55:06:01:04.  Hire date -- Proof of prior service.</w:t>
      </w:r>
      <w:r>
        <w:rPr>
          <w:rFonts w:ascii="Times New Roman" w:hAnsi="Times New Roman"/>
          <w:sz w:val="24"/>
        </w:rPr>
        <w:t xml:space="preserve"> An employee's hire date is the month, day, and year the employee begins continuous service with the state. Prior service in the employment of state government may be used to calculate longevity compensation upon proof of the employment and the date of employment. Prior service is determined by an employee's hire and termination dates. Prior service may be proved by documentation such as state payroll records, a letter of appointment, notice of termination, or pay check stubs. The proof of the prior service, if other than state payroll records, must be approved by the commissioner and must document the employee's hire and termination dates.</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4, effective July 17, 1991.</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3-8-13.</w:t>
      </w:r>
    </w:p>
    <w:p w:rsidR="00806B6C" w:rsidRDefault="00806B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3-8-13.</w:t>
      </w:r>
    </w:p>
    <w:sectPr w:rsidR="00806B6C" w:rsidSect="00806B6C">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D02AF"/>
    <w:rsid w:val="0008055E"/>
    <w:rsid w:val="003D02AF"/>
    <w:rsid w:val="007B63A7"/>
    <w:rsid w:val="00806B6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F1667D"/>
    <w:rPr>
      <w:rFonts w:ascii="Times" w:hAnsi="Times"/>
    </w:rPr>
  </w:style>
  <w:style w:type="paragraph" w:styleId="BalloonText">
    <w:name w:val="Balloon Text"/>
    <w:basedOn w:val="Normal"/>
    <w:link w:val="BalloonTextChar"/>
    <w:uiPriority w:val="99"/>
    <w:semiHidden/>
    <w:unhideWhenUsed/>
    <w:rsid w:val="0008055E"/>
    <w:rPr>
      <w:rFonts w:ascii="Tahoma" w:hAnsi="Tahoma"/>
      <w:sz w:val="16"/>
      <w:szCs w:val="16"/>
    </w:rPr>
  </w:style>
  <w:style w:type="character" w:customStyle="1" w:styleId="BalloonTextChar">
    <w:name w:val="Balloon Text Char"/>
    <w:basedOn w:val="DefaultParagraphFont"/>
    <w:link w:val="BalloonText"/>
    <w:uiPriority w:val="99"/>
    <w:semiHidden/>
    <w:locked/>
    <w:rsid w:val="0008055E"/>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2</Pages>
  <Words>488</Words>
  <Characters>2783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55:06</dc:title>
  <dc:subject/>
  <dc:creator>Legislative Research Council</dc:creator>
  <cp:keywords/>
  <dc:description/>
  <cp:lastModifiedBy>Pirnat, Marge</cp:lastModifiedBy>
  <cp:revision>3</cp:revision>
  <cp:lastPrinted>2012-11-23T18:59:00Z</cp:lastPrinted>
  <dcterms:created xsi:type="dcterms:W3CDTF">1997-10-30T14:11:00Z</dcterms:created>
  <dcterms:modified xsi:type="dcterms:W3CDTF">2012-11-23T19:00:00Z</dcterms:modified>
</cp:coreProperties>
</file>