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3FA13B" Type="http://schemas.openxmlformats.org/officeDocument/2006/relationships/officeDocument" Target="/word/document.xml" /><Relationship Id="coreR33FA13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64:29:02:04.03.  Refunds not authorized by law.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19 SDR 42, effective September 29, 1992</w:t>
      </w:r>
      <w:r>
        <w:rPr>
          <w:rFonts w:ascii="Times New Roman" w:hAnsi="Times New Roman"/>
          <w:sz w:val="24"/>
        </w:rPr>
        <w:t>; 45 SDR 83, effective December 18, 2018</w:t>
      </w:r>
      <w:r>
        <w:rPr>
          <w:rFonts w:ascii="Times New Roman" w:hAnsi="Times New Roman"/>
          <w:sz w:val="24"/>
        </w:rPr>
        <w:t>.</w:t>
      </w:r>
    </w:p>
    <w:p/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lrpr14305</dc:creator>
  <dcterms:created xsi:type="dcterms:W3CDTF">2005-02-15T16:47:00Z</dcterms:created>
  <cp:lastModifiedBy>Rhonda Purkapile</cp:lastModifiedBy>
  <dcterms:modified xsi:type="dcterms:W3CDTF">2018-12-10T15:24:01Z</dcterms:modified>
  <cp:revision>2</cp:revision>
</cp:coreProperties>
</file>