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32D" w:rsidRDefault="0093632D" w:rsidP="00F677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64:35:01:08.  Annual license not transferable or refundable.</w:t>
      </w:r>
      <w:r>
        <w:rPr>
          <w:rFonts w:ascii="Times New Roman" w:hAnsi="Times New Roman"/>
          <w:sz w:val="24"/>
        </w:rPr>
        <w:t xml:space="preserve"> The annual coin-operated washer or dryer license is not transferable from one machine to another or refundable.</w:t>
      </w:r>
    </w:p>
    <w:p w:rsidR="0093632D" w:rsidRDefault="0093632D" w:rsidP="00F677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632D" w:rsidRDefault="0093632D" w:rsidP="00F677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93632D" w:rsidRDefault="0093632D" w:rsidP="00F677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10-45-5.1.</w:t>
      </w:r>
    </w:p>
    <w:p w:rsidR="0093632D" w:rsidRDefault="0093632D" w:rsidP="00F677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10-45-5.1.</w:t>
      </w:r>
    </w:p>
    <w:p w:rsidR="0093632D" w:rsidRDefault="0093632D" w:rsidP="00F677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3632D" w:rsidSect="0093632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3632D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677F2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77F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2005-03-14T21:10:00Z</dcterms:created>
  <dcterms:modified xsi:type="dcterms:W3CDTF">2005-03-14T21:11:00Z</dcterms:modified>
</cp:coreProperties>
</file>