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6EC8" w:rsidRDefault="00766EC8" w:rsidP="005912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64:44:01:02.  Minimum price on cigarettes.</w:t>
      </w:r>
      <w:r>
        <w:rPr>
          <w:rFonts w:ascii="Times New Roman" w:hAnsi="Times New Roman"/>
          <w:sz w:val="24"/>
        </w:rPr>
        <w:t xml:space="preserve"> The distributor shall apply the following formulas to establish the minimum price on all brands of cigarettes the distributor sells in this state:</w:t>
      </w:r>
    </w:p>
    <w:p w:rsidR="00766EC8" w:rsidRDefault="00766EC8" w:rsidP="005912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66EC8" w:rsidRDefault="00766EC8" w:rsidP="005912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basic cost to the distributor is the manufacturer's invoice price, less available manufacturer's discounts, plus the state cigarette excise tax;</w:t>
      </w:r>
    </w:p>
    <w:p w:rsidR="00766EC8" w:rsidRDefault="00766EC8" w:rsidP="005912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66EC8" w:rsidRDefault="00766EC8" w:rsidP="005912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distributor may not sell cigarettes for less than four percent above their basic cost if cigarettes are sold to retailers at the distributor's warehouse;</w:t>
      </w:r>
    </w:p>
    <w:p w:rsidR="00766EC8" w:rsidRDefault="00766EC8" w:rsidP="005912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66EC8" w:rsidRDefault="00766EC8" w:rsidP="005912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If cigarettes are delivered to retailers, an additional one and one-half percent for cartage shall be added to the basic cost.</w:t>
      </w:r>
    </w:p>
    <w:p w:rsidR="00766EC8" w:rsidRDefault="00766EC8" w:rsidP="005912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66EC8" w:rsidRDefault="00766EC8" w:rsidP="005912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>; 21 SDR 219, effective July 1, 1995; 38 SDR 214, effective June 21, 2012.</w:t>
      </w:r>
    </w:p>
    <w:p w:rsidR="00766EC8" w:rsidRDefault="00766EC8" w:rsidP="005912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10-50-60, 37-10-26.</w:t>
      </w:r>
    </w:p>
    <w:p w:rsidR="00766EC8" w:rsidRDefault="00766EC8" w:rsidP="005912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37-10-5, 37-10-10.</w:t>
      </w:r>
    </w:p>
    <w:p w:rsidR="00766EC8" w:rsidRDefault="00766EC8" w:rsidP="005912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66EC8" w:rsidSect="00766EC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912AB"/>
    <w:rsid w:val="001A4616"/>
    <w:rsid w:val="005912AB"/>
    <w:rsid w:val="00766EC8"/>
    <w:rsid w:val="009126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12A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132</Words>
  <Characters>754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2012-06-14T14:41:00Z</dcterms:created>
  <dcterms:modified xsi:type="dcterms:W3CDTF">2012-06-14T14:41:00Z</dcterms:modified>
</cp:coreProperties>
</file>