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64:47:01:09.  Exclusions from income.</w:t>
      </w:r>
      <w:r>
        <w:rPr>
          <w:rFonts w:ascii="Times New Roman" w:hAnsi="Times New Roman"/>
          <w:sz w:val="24"/>
        </w:rPr>
        <w:t xml:space="preserve"> The following are specifically excluded from household income: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Medicare benefits;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Medicaid benefits;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Damages received whether by suit or agreement, on account of personal injuries;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Payments received as a result of serving as a volunteer in any action program;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Insurance payments for medical expenses that do not exceed said expenses.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27, effective </w:t>
      </w:r>
      <w:smartTag w:uri="urn:schemas-microsoft-com:office:smarttags" w:element="date">
        <w:smartTagPr>
          <w:attr w:name="Year" w:val="1974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10-45A-16.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10-45A-1(4).</w:t>
      </w:r>
    </w:p>
    <w:p w:rsidR="00CA508A" w:rsidRDefault="00CA508A" w:rsidP="00D039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508A" w:rsidSect="00CA508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A508A"/>
    <w:rsid w:val="00CE0E2C"/>
    <w:rsid w:val="00D039D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9D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2005-03-14T22:55:00Z</dcterms:created>
  <dcterms:modified xsi:type="dcterms:W3CDTF">2005-03-14T22:55:00Z</dcterms:modified>
</cp:coreProperties>
</file>