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64:47:02:15.  Interest accrued.</w:t>
      </w:r>
      <w:r>
        <w:rPr>
          <w:rFonts w:ascii="Times New Roman" w:hAnsi="Times New Roman"/>
          <w:sz w:val="24"/>
        </w:rPr>
        <w:t xml:space="preserve"> Any interest which has been accrued is to be included as income whether or not such interest has been drawn.</w:t>
      </w:r>
    </w:p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10-18A-1(4).</w:t>
      </w:r>
    </w:p>
    <w:p w:rsidR="00FE03BA" w:rsidRDefault="00FE03BA" w:rsidP="002F4A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03BA" w:rsidSect="00FE03B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2F4AA3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  <w:rsid w:val="00FE0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AA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2005-03-15T15:32:00Z</dcterms:created>
  <dcterms:modified xsi:type="dcterms:W3CDTF">2005-03-15T15:32:00Z</dcterms:modified>
</cp:coreProperties>
</file>