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816D67E" Type="http://schemas.openxmlformats.org/officeDocument/2006/relationships/officeDocument" Target="/word/document.xml" /><Relationship Id="coreR7816D67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64:80:01:01.  Definitions.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December 22, 1977; 13 SDR 129, 13 SDR 134, effective July 1, 1987; 16 SDR 76, effective November 1, 1989; 30 SDR 58, effective November 5, 2003</w:t>
      </w:r>
      <w:r>
        <w:rPr>
          <w:rFonts w:ascii="Times New Roman" w:hAnsi="Times New Roman"/>
          <w:sz w:val="24"/>
          <w:lang w:val="en-US" w:bidi="en-US" w:eastAsia="en-US"/>
        </w:rPr>
        <w:t>; 46 SDR 66, effective No</w:t>
      </w:r>
      <w:r>
        <w:rPr>
          <w:rFonts w:ascii="Times New Roman" w:hAnsi="Times New Roman"/>
          <w:sz w:val="24"/>
          <w:lang w:val="en-US" w:bidi="en-US" w:eastAsia="en-US"/>
        </w:rPr>
        <w:t>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2005-03-15T18:52:00Z</dcterms:created>
  <cp:lastModifiedBy>Rhonda Purkapile</cp:lastModifiedBy>
  <dcterms:modified xsi:type="dcterms:W3CDTF">2019-11-15T19:51:30Z</dcterms:modified>
  <cp:revision>4</cp:revision>
</cp:coreProperties>
</file>