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67:16:01:26.  Use of I</w:t>
      </w:r>
      <w:r>
        <w:rPr>
          <w:rFonts w:ascii="Times New Roman" w:hAnsi="Times New Roman"/>
          <w:b w:val="1"/>
          <w:sz w:val="24"/>
          <w:lang w:val="en-US" w:bidi="en-US" w:eastAsia="en-US"/>
        </w:rPr>
        <w:t>nternational Classification of Diseases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Claims submitted under the provisions of chapters 67:16:02, 67:16:03, 67:16:05, 67:16:07, 67:16:09, 67:16:11, 67:16:13, 67:16:25, 67:16:41, 67:16:43, 67:16:44</w:t>
      </w:r>
      <w:r>
        <w:rPr>
          <w:rFonts w:ascii="Times New Roman" w:hAnsi="Times New Roman"/>
          <w:sz w:val="24"/>
          <w:lang w:val="en-US" w:bidi="en-US" w:eastAsia="en-US"/>
        </w:rPr>
        <w:t>, 67:16:46, 67:16:47, and 67:16:48</w:t>
      </w:r>
      <w:r>
        <w:rPr>
          <w:rFonts w:ascii="Times New Roman" w:hAnsi="Times New Roman"/>
          <w:sz w:val="24"/>
        </w:rPr>
        <w:t xml:space="preserve"> must contain the applicable diagnosis codes contained in the </w:t>
      </w:r>
      <w:r>
        <w:rPr>
          <w:rFonts w:ascii="Times New Roman" w:hAnsi="Times New Roman"/>
          <w:b w:val="0"/>
          <w:sz w:val="24"/>
        </w:rPr>
        <w:t>International Classification of Diseases, 10th Revision, Clinical Modification</w:t>
      </w:r>
      <w:r>
        <w:rPr>
          <w:rFonts w:ascii="Times New Roman" w:hAnsi="Times New Roman"/>
          <w:sz w:val="24"/>
        </w:rPr>
        <w:t>, 20</w:t>
      </w:r>
      <w:r>
        <w:rPr>
          <w:rFonts w:ascii="Times New Roman" w:hAnsi="Times New Roman"/>
          <w:sz w:val="24"/>
          <w:lang w:val="en-US" w:bidi="en-US" w:eastAsia="en-US"/>
        </w:rPr>
        <w:t>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Claims submitted under chapter 67:16:03 must </w:t>
      </w:r>
      <w:r>
        <w:rPr>
          <w:rFonts w:ascii="Times New Roman" w:hAnsi="Times New Roman"/>
          <w:sz w:val="24"/>
          <w:lang w:val="en-US" w:bidi="en-US" w:eastAsia="en-US"/>
        </w:rPr>
        <w:t xml:space="preserve">also </w:t>
      </w:r>
      <w:r>
        <w:rPr>
          <w:rFonts w:ascii="Times New Roman" w:hAnsi="Times New Roman"/>
          <w:sz w:val="24"/>
        </w:rPr>
        <w:t>contain the applicable procedure codes contained in the International Classification of Diseases, 10th Revision, Procedure Coding System, 20</w:t>
      </w:r>
      <w:r>
        <w:rPr>
          <w:rFonts w:ascii="Times New Roman" w:hAnsi="Times New Roman"/>
          <w:sz w:val="24"/>
          <w:lang w:val="en-US" w:bidi="en-US" w:eastAsia="en-US"/>
        </w:rPr>
        <w:t>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21 SDR 183, effective April 30, 1995; 22 SDR 6, effective July 26, 1995; 22 SDR 188, effective July 8, 1996; 23 SDR 109, effective January 5, 1997; 23 SDR 192, effective May 22, 1997; 24 SDR 144, effective April 30, 1998; 25 SDR 104, effective February 17, 1999; 28 SDR 1, effective July 18, 2001; 30 SDR 26, effective September 3, 2003; 31 SDR 39, effective September 29, 2004; 32 SDR 33, effective August 31, 2005; 34 SDR 68, effective September 12, 2007; 34 SDR 322, effective July 1, 2008; 42 SDR 51, effective October 13, 2015; 46 SDR 50, effective October 10, 2019; 47 SDR 38, effective October 6, 2020</w:t>
      </w:r>
      <w:r>
        <w:rPr>
          <w:rFonts w:ascii="Times New Roman" w:hAnsi="Times New Roman"/>
          <w:sz w:val="24"/>
          <w:lang w:val="en-US" w:bidi="en-US" w:eastAsia="en-US"/>
        </w:rPr>
        <w:t>; 48 SDR 39, effective October 3, 2021; 49 SDR 21, effective September 12, 2022; 50 SDR 63, effective November 27, 2023; 51 SDR 13, effective August 12,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28-6-1.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28-6-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</w:t>
      </w:r>
      <w:r>
        <w:rPr>
          <w:rFonts w:ascii="Times New Roman" w:hAnsi="Times New Roman"/>
          <w:b w:val="1"/>
          <w:sz w:val="24"/>
          <w:lang w:val="en-US" w:bidi="en-US" w:eastAsia="en-US"/>
        </w:rPr>
        <w:t>s</w:t>
      </w:r>
      <w:r>
        <w:rPr>
          <w:rFonts w:ascii="Times New Roman" w:hAnsi="Times New Roman"/>
          <w:b w:val="1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b w:val="1"/>
          <w:sz w:val="24"/>
        </w:rPr>
        <w:t>International Classification of Diseases, 10th Revision, Clinical Modification</w:t>
      </w:r>
      <w:r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  <w:lang w:val="en-US" w:bidi="en-US" w:eastAsia="en-US"/>
        </w:rPr>
        <w:t xml:space="preserve"> American Medical Association, August 30, 2023</w:t>
      </w:r>
      <w:r>
        <w:rPr>
          <w:rFonts w:ascii="Times New Roman" w:hAnsi="Times New Roman"/>
          <w:sz w:val="24"/>
        </w:rPr>
        <w:t xml:space="preserve">. Copies may be obtained from the American Medical Association, </w:t>
      </w:r>
      <w:hyperlink xmlns:r="http://schemas.openxmlformats.org/officeDocument/2006/relationships" r:id="R2">
        <w:r>
          <w:rPr>
            <w:rStyle w:val="C2"/>
            <w:rFonts w:ascii="Times New Roman" w:hAnsi="Times New Roman"/>
            <w:sz w:val="24"/>
            <w:lang w:val="en-US" w:bidi="en-US" w:eastAsia="en-US"/>
          </w:rPr>
          <w:t>https://commerce.ama-assn.org/store/ui</w:t>
        </w:r>
      </w:hyperlink>
      <w:r>
        <w:rPr>
          <w:rFonts w:ascii="Times New Roman" w:hAnsi="Times New Roman"/>
          <w:sz w:val="24"/>
        </w:rPr>
        <w:t>; $</w:t>
      </w:r>
      <w:r>
        <w:rPr>
          <w:rFonts w:ascii="Times New Roman" w:hAnsi="Times New Roman"/>
          <w:sz w:val="24"/>
          <w:lang w:val="en-US" w:bidi="en-US" w:eastAsia="en-US"/>
        </w:rPr>
        <w:t>118.60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b w:val="1"/>
          <w:sz w:val="24"/>
        </w:rPr>
        <w:t>International Classification of Diseases, 10th Revision, Procedure Coding System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sz w:val="24"/>
          <w:lang w:val="en-US" w:bidi="en-US" w:eastAsia="en-US"/>
        </w:rPr>
        <w:t xml:space="preserve">American Medical Association, September 8, </w:t>
      </w:r>
      <w:r>
        <w:rPr>
          <w:rFonts w:ascii="Times New Roman" w:hAnsi="Times New Roman"/>
          <w:sz w:val="24"/>
        </w:rPr>
        <w:t>20</w:t>
      </w:r>
      <w:r>
        <w:rPr>
          <w:rFonts w:ascii="Times New Roman" w:hAnsi="Times New Roman"/>
          <w:sz w:val="24"/>
          <w:lang w:val="en-US" w:bidi="en-US" w:eastAsia="en-US"/>
        </w:rPr>
        <w:t>23</w:t>
      </w:r>
      <w:r>
        <w:rPr>
          <w:rFonts w:ascii="Times New Roman" w:hAnsi="Times New Roman"/>
          <w:sz w:val="24"/>
        </w:rPr>
        <w:t xml:space="preserve">. Copies may be obtained from the American Medical Association, </w:t>
      </w:r>
      <w:hyperlink xmlns:r="http://schemas.openxmlformats.org/officeDocument/2006/relationships" r:id="R3">
        <w:r>
          <w:rPr>
            <w:rStyle w:val="C2"/>
            <w:rFonts w:ascii="Times New Roman" w:hAnsi="Times New Roman"/>
            <w:sz w:val="24"/>
            <w:lang w:val="en-US" w:bidi="en-US" w:eastAsia="en-US"/>
          </w:rPr>
          <w:t>https://commerce.ama-assn.org/store/ui</w:t>
        </w:r>
      </w:hyperlink>
      <w:r>
        <w:rPr>
          <w:rFonts w:ascii="Times New Roman" w:hAnsi="Times New Roman"/>
          <w:sz w:val="24"/>
        </w:rPr>
        <w:t>; $</w:t>
      </w:r>
      <w:r>
        <w:rPr>
          <w:rFonts w:ascii="Times New Roman" w:hAnsi="Times New Roman"/>
          <w:sz w:val="24"/>
          <w:lang w:val="en-US" w:bidi="en-US" w:eastAsia="en-US"/>
        </w:rPr>
        <w:t>118.60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s://commerce.ama-assn.org/store/ui" TargetMode="External" /><Relationship Id="R3" Type="http://schemas.openxmlformats.org/officeDocument/2006/relationships/hyperlink" Target="https://commerce.ama-assn.org/store/ui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2015-10-02T16:55:00Z</dcterms:created>
  <cp:lastModifiedBy>Kelly Thompson</cp:lastModifiedBy>
  <dcterms:modified xsi:type="dcterms:W3CDTF">2024-08-14T20:23:30Z</dcterms:modified>
  <cp:revision>24</cp:revision>
</cp:coreProperties>
</file>