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A11" w:rsidRDefault="002A7A11" w:rsidP="000731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67:17:02:28.  Notice of decision.</w:t>
      </w:r>
      <w:r>
        <w:rPr>
          <w:rFonts w:ascii="Times New Roman" w:hAnsi="Times New Roman"/>
          <w:sz w:val="24"/>
        </w:rPr>
        <w:t xml:space="preserve"> Repealed.</w:t>
      </w:r>
    </w:p>
    <w:p w:rsidR="002A7A11" w:rsidRDefault="002A7A11" w:rsidP="000731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7A11" w:rsidRDefault="002A7A11" w:rsidP="000731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67:12:03:28, 2 SDR 71, effective April 29, 1976; 3 SDR 26, effective October 6, 1976; 6 SDR 66, effective January 10, 1980; 7 SDR 66, 7 SDR 89, effective July 1, 1981; 17 SDR 50, effective October 7, 1990; repealed, 35 SDR 166, effective December 24, 2008.</w:t>
      </w:r>
    </w:p>
    <w:p w:rsidR="002A7A11" w:rsidRDefault="002A7A11" w:rsidP="000731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A7A11" w:rsidSect="002A7A1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11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A7A11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311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301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2008-12-17T14:54:00Z</dcterms:created>
  <dcterms:modified xsi:type="dcterms:W3CDTF">2008-12-17T14:54:00Z</dcterms:modified>
</cp:coreProperties>
</file>