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992" w:rsidRDefault="006D59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b/>
          <w:sz w:val="24"/>
        </w:rPr>
        <w:t>ARTICLE 67:21</w:t>
      </w:r>
    </w:p>
    <w:p w:rsidR="006D5992" w:rsidRDefault="006D59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5992" w:rsidRDefault="006D59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TITLE XX SERVICES</w:t>
      </w:r>
    </w:p>
    <w:p w:rsidR="006D5992" w:rsidRDefault="006D59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67:20:15, 7 SDR 66, 7 SDR 89, effective July 1, 1981)</w:t>
      </w:r>
    </w:p>
    <w:p w:rsidR="006D5992" w:rsidRDefault="006D59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D5992" w:rsidRDefault="006D59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D5992" w:rsidSect="006D5992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5992"/>
    <w:rsid w:val="006D59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5992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67</dc:title>
  <dc:subject/>
  <dc:creator>Legislative Research Council</dc:creator>
  <cp:keywords/>
  <dc:description/>
  <cp:lastModifiedBy>Legislative Research Council</cp:lastModifiedBy>
  <cp:revision>4</cp:revision>
  <dcterms:created xsi:type="dcterms:W3CDTF">1997-10-06T20:19:00Z</dcterms:created>
  <dcterms:modified xsi:type="dcterms:W3CDTF">1997-10-24T21:00:00Z</dcterms:modified>
</cp:coreProperties>
</file>