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67:42:03:12.  Sanitation requirements.</w:t>
      </w:r>
      <w:r>
        <w:t xml:space="preserve"> </w:t>
      </w:r>
      <w:r>
        <w:rPr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2, effective July 25, 1977; 7 SDR 66, 7 SDR 89, effective July 1, 1981; 10 SDR 48, effective November 21, 1983; 15 SDR 162, effective May 4, 1989; 31 SDR 40, effective September 29,  2004; 39 SDR 220, effective June 27, 2013; 43 SDR 31, effective September </w:t>
      </w:r>
      <w:r>
        <w:rPr>
          <w:lang w:val="en-US" w:bidi="en-US" w:eastAsia="en-US"/>
        </w:rPr>
        <w:t>12</w:t>
      </w:r>
      <w:r>
        <w:t>, 2016</w:t>
      </w:r>
      <w:r>
        <w:rPr>
          <w:lang w:val="en-US" w:bidi="en-US" w:eastAsia="en-US"/>
        </w:rPr>
        <w:t>; 49 SDR 124, effective July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2023-07-04T04:16:32Z</dcterms:created>
  <cp:lastModifiedBy>Kelly Thompson</cp:lastModifiedBy>
  <dcterms:modified xsi:type="dcterms:W3CDTF">2023-07-04T04:17:50Z</dcterms:modified>
  <cp:revision>2</cp:revision>
</cp:coreProperties>
</file>