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67:42:10:00.  Definitions.</w:t>
      </w:r>
      <w:r>
        <w:rPr>
          <w:szCs w:val="20"/>
        </w:rPr>
        <w:t xml:space="preserve"> </w:t>
      </w:r>
      <w:r>
        <w:rPr>
          <w:szCs w:val="20"/>
          <w:lang w:val="en-US" w:bidi="en-US" w:eastAsia="en-US"/>
        </w:rPr>
        <w:t>Repealed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Source:</w:t>
      </w:r>
      <w:r>
        <w:rPr>
          <w:szCs w:val="20"/>
        </w:rPr>
        <w:t xml:space="preserve"> 12 SDR 209, effective July 6, 1986; 15 SDR 162, effective May 4, 1989; 39 SDR 220, effective June 27, 2013</w:t>
      </w:r>
      <w:r>
        <w:rPr>
          <w:szCs w:val="20"/>
          <w:lang w:val="en-US" w:bidi="en-US" w:eastAsia="en-US"/>
        </w:rPr>
        <w:t>; 49 SDR 124, effective July 3, 2023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2013-06-28T15:16:00Z</dcterms:created>
  <cp:lastModifiedBy>Kelly Thompson</cp:lastModifiedBy>
  <dcterms:modified xsi:type="dcterms:W3CDTF">2023-07-04T13:20:42Z</dcterms:modified>
  <cp:revision>4</cp:revision>
</cp:coreProperties>
</file>