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17:10:01</w:t>
        </w:r>
      </w:smartTag>
      <w:r>
        <w:rPr>
          <w:rFonts w:ascii="Times New Roman" w:hAnsi="Times New Roman"/>
          <w:b/>
          <w:sz w:val="24"/>
        </w:rPr>
        <w:t>:10.  Definitions.</w:t>
      </w:r>
      <w:r>
        <w:rPr>
          <w:rFonts w:ascii="Times New Roman" w:hAnsi="Times New Roman"/>
          <w:sz w:val="24"/>
        </w:rPr>
        <w:t xml:space="preserve"> Terms used in this title mean:</w:t>
      </w: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"Department," the Department of Corrections;</w:t>
      </w: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"Employee," any person employed in any capacity whose duties are under the supervision of the Department of Corrections;</w:t>
      </w: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"Inmate," any person incarcerated by virtue of a judicial order or other lawful process in any department facility.</w:t>
      </w: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0A048D" w:rsidRDefault="000A048D" w:rsidP="00D21F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0A048D" w:rsidSect="000A048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A048D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BD2CC9"/>
    <w:rsid w:val="00D21F60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F6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2004-06-04T17:00:00Z</dcterms:created>
  <dcterms:modified xsi:type="dcterms:W3CDTF">2004-06-04T17:00:00Z</dcterms:modified>
</cp:coreProperties>
</file>