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17:61:01:01.  Definitions.</w:t>
      </w:r>
      <w:r>
        <w:rPr>
          <w:rFonts w:ascii="Times New Roman" w:hAnsi="Times New Roman"/>
          <w:sz w:val="24"/>
        </w:rPr>
        <w:t xml:space="preserve"> Words used in this article mean: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"Agent," any person employed by parole services to supervise persons under supervision;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"Agreement," the form that contains the conditions of supervision agreed upon, signed by the person under supervision;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"Arrest warrant," a document issued by the executive director for the arrest of a person under supervision;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"Detainer," a document issued by parole services for the arrest and detention of a person under supervision;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"Executive director of parole services," the person employed by the department to administer parole services;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"Dual supervision," supervision by more than one agency of government of a person under supervision;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"Person under supervision," any person requiring supervision who falls under the following categories: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(a)  "Interstate or out-of-state," any person whose case is accepted for courtesy supervision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pursuant to the rules in this chapter;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"Parole," any inmate released from a department facility by action of the Board of Pardons and Paroles or under the provisions of SDCL 24-15A-38; and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"Suspended sentence," any person whose sentence is suspended by the court and who is under the supervision of parole services;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"Person under supervision records," records that contain the person under supervision's case history and adjustment to supervision;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"Special limitations," those conditions of supervision that are established by the Board of Pardons and Paroles, the executive director of parole services, a parole supervisor, a parole agent, interstate compact, or the court;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"Staff," all persons employed in any capacity by parole services;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"Supervisor," the person appointed by the executive director of parole services to assist in administrative duties in the field; and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"Collateral contact," any contact made by a parole agent or parole supervisor with any person other than the parolee, but regarding the parolee. Examples are any contact with the parolee's employer, family members, or treatment providers.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January 4, 1979; 12 SDR 213, effective July 14, 1986; 24 SDR 44, effective October 14, 1997; 30 SDR 198, effective June 23, 2004.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15"/>
          <w:attr w:name="Year" w:val="2020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23A-27-19, 24-15-14, 24-16-1.</w:t>
      </w:r>
    </w:p>
    <w:p w:rsidR="007A6F72" w:rsidRDefault="007A6F72" w:rsidP="00975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A6F72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6F72" w:rsidRDefault="007A6F72">
      <w:r>
        <w:separator/>
      </w:r>
    </w:p>
  </w:endnote>
  <w:endnote w:type="continuationSeparator" w:id="0">
    <w:p w:rsidR="007A6F72" w:rsidRDefault="007A6F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6F72" w:rsidRDefault="007A6F72">
      <w:r>
        <w:separator/>
      </w:r>
    </w:p>
  </w:footnote>
  <w:footnote w:type="continuationSeparator" w:id="0">
    <w:p w:rsidR="007A6F72" w:rsidRDefault="007A6F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14432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5114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0D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A6F72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75F9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F9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85847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85847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356</Words>
  <Characters>2030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2004-06-19T15:45:00Z</dcterms:created>
  <dcterms:modified xsi:type="dcterms:W3CDTF">2004-07-21T17:21:00Z</dcterms:modified>
</cp:coreProperties>
</file>