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70:05:01:05.  Adoption of guidelines for property management -- Notice required.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July 1, 1982; 13 SDR 129, 13 SDR 134, effective July 1, 1987</w:t>
      </w:r>
      <w:r>
        <w:rPr>
          <w:rFonts w:ascii="Times New Roman" w:hAnsi="Times New Roman"/>
          <w:sz w:val="24"/>
          <w:lang w:val="en-US" w:bidi="en-US" w:eastAsia="en-US"/>
        </w:rPr>
        <w:t>; 49 SDR 47, effective No</w:t>
      </w:r>
      <w:r>
        <w:rPr>
          <w:rFonts w:ascii="Times New Roman" w:hAnsi="Times New Roman"/>
          <w:sz w:val="24"/>
          <w:lang w:val="en-US" w:bidi="en-US" w:eastAsia="en-US"/>
        </w:rPr>
        <w:t>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2005-04-08T16:43:00Z</dcterms:created>
  <cp:lastModifiedBy>Kelly Thompson</cp:lastModifiedBy>
  <dcterms:modified xsi:type="dcterms:W3CDTF">2022-11-09T22:14:26Z</dcterms:modified>
  <cp:revision>5</cp:revision>
</cp:coreProperties>
</file>