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70:05:03:05.  Permissible uses of loan proceeds.</w:t>
      </w:r>
      <w:r>
        <w:rPr>
          <w:rFonts w:ascii="Times New Roman" w:hAnsi="Times New Roman"/>
          <w:sz w:val="24"/>
        </w:rPr>
        <w:t xml:space="preserve"> Railroad trust fund loans may be used for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 xml:space="preserve">acquisition, development, and improvement of </w:t>
      </w:r>
      <w:r>
        <w:rPr>
          <w:rFonts w:ascii="Times New Roman" w:hAnsi="Times New Roman"/>
          <w:sz w:val="24"/>
          <w:lang w:val="en-US" w:bidi="en-US" w:eastAsia="en-US"/>
        </w:rPr>
        <w:t>railroad infrastructure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2005-04-08T18:56:00Z</dcterms:created>
  <cp:lastModifiedBy>Kelly Thompson</cp:lastModifiedBy>
  <dcterms:modified xsi:type="dcterms:W3CDTF">2022-11-09T22:32:18Z</dcterms:modified>
  <cp:revision>5</cp:revision>
  <dc:title>CHAPTER 70:05:02</dc:title>
</cp:coreProperties>
</file>