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70:05:03:06.  Factors for board action.</w:t>
      </w:r>
      <w:r>
        <w:rPr>
          <w:rFonts w:ascii="Times New Roman" w:hAnsi="Times New Roman"/>
          <w:sz w:val="24"/>
        </w:rPr>
        <w:t xml:space="preserve"> When making a decision on an application, the board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consider the following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Number of primary jobs created;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Amount of the loan requested;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Net economic effect on the area and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Transportation needs of the area served by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Support of the public entities of the community and area;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(6)  The amount of the </w:t>
      </w:r>
      <w:r>
        <w:rPr>
          <w:rFonts w:ascii="Times New Roman" w:hAnsi="Times New Roman"/>
          <w:sz w:val="24"/>
          <w:lang w:val="en-US" w:bidi="en-US" w:eastAsia="en-US"/>
        </w:rPr>
        <w:t>financial</w:t>
      </w:r>
      <w:r>
        <w:rPr>
          <w:rFonts w:ascii="Times New Roman" w:hAnsi="Times New Roman"/>
          <w:sz w:val="24"/>
        </w:rPr>
        <w:t xml:space="preserve"> contribution by the applicant or others to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effect of the project on the environment, health, and safety of the people in the area and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Compatibility with the economic development plans of the area and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The potential success of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The character, experience, management record, and financial capacity of the rail operator</w:t>
      </w:r>
      <w:r>
        <w:rPr>
          <w:rFonts w:ascii="Times New Roman" w:hAnsi="Times New Roman"/>
          <w:sz w:val="24"/>
          <w:lang w:val="en-US" w:bidi="en-US" w:eastAsia="en-US"/>
        </w:rPr>
        <w:t xml:space="preserve"> and any other benefitted entity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The capacity of the applicant to repay the loan. In determining the capacity of the applicant, the board may consider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The amount of the loan;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The economic feasibility of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  The ability of the applicant to service the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  The financial status of the project, applicant, and rail operator;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  The satisfaction of engineering, legal, and environmental regulations;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The total capitalization of the project, including any capitalization subordinated to the trust fund loan;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The terms and conditions of the loan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2005-04-08T18:56:00Z</dcterms:created>
  <cp:lastModifiedBy>Kelly Thompson</cp:lastModifiedBy>
  <dcterms:modified xsi:type="dcterms:W3CDTF">2022-11-09T22:34:30Z</dcterms:modified>
  <cp:revision>5</cp:revision>
  <dc:title>CHAPTER 70:05:02</dc:title>
</cp:coreProperties>
</file>