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70:05:03:11.  Additional notification requirements.</w:t>
      </w:r>
      <w:r>
        <w:rPr>
          <w:rFonts w:ascii="Times New Roman" w:hAnsi="Times New Roman"/>
          <w:sz w:val="24"/>
        </w:rPr>
        <w:t xml:space="preserve"> The borrower shall notify the board in a timely manner of any change in the rail operator</w:t>
      </w:r>
      <w:r>
        <w:rPr>
          <w:rFonts w:ascii="Times New Roman" w:hAnsi="Times New Roman"/>
          <w:sz w:val="24"/>
          <w:lang w:val="en-US" w:bidi="en-US" w:eastAsia="en-US"/>
        </w:rPr>
        <w:t xml:space="preserve"> or any other benefitted entity</w:t>
      </w:r>
      <w:r>
        <w:rPr>
          <w:rFonts w:ascii="Times New Roman" w:hAnsi="Times New Roman"/>
          <w:sz w:val="24"/>
        </w:rPr>
        <w:t>. If the notice required in this section is not provided, the board may call the loan immediately due and payable.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107, effective January 24, 1993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49-16C-3.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2005-04-08T18:59:00Z</dcterms:created>
  <cp:lastModifiedBy>Kelly Thompson</cp:lastModifiedBy>
  <dcterms:modified xsi:type="dcterms:W3CDTF">2022-11-09T22:49:26Z</dcterms:modified>
  <cp:revision>4</cp:revision>
  <dc:title>CHAPTER 70:05:02</dc:title>
</cp:coreProperties>
</file>