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70:05:03:12.  Maturity and interest rate.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 xml:space="preserve">board shall set the </w:t>
      </w:r>
      <w:r>
        <w:rPr>
          <w:rFonts w:ascii="Times New Roman" w:hAnsi="Times New Roman"/>
          <w:sz w:val="24"/>
        </w:rPr>
        <w:t>maturity of the loan</w:t>
      </w:r>
      <w:r>
        <w:rPr>
          <w:rFonts w:ascii="Times New Roman" w:hAnsi="Times New Roman"/>
          <w:sz w:val="24"/>
        </w:rPr>
        <w:t xml:space="preserve">, and </w:t>
      </w:r>
      <w:r>
        <w:rPr>
          <w:rFonts w:ascii="Times New Roman" w:hAnsi="Times New Roman"/>
          <w:sz w:val="24"/>
          <w:lang w:val="en-US" w:bidi="en-US" w:eastAsia="en-US"/>
        </w:rPr>
        <w:t xml:space="preserve">any </w:t>
      </w:r>
      <w:r>
        <w:rPr>
          <w:rFonts w:ascii="Times New Roman" w:hAnsi="Times New Roman"/>
          <w:sz w:val="24"/>
        </w:rPr>
        <w:t xml:space="preserve">interest </w:t>
      </w:r>
      <w:r>
        <w:rPr>
          <w:rFonts w:ascii="Times New Roman" w:hAnsi="Times New Roman"/>
          <w:sz w:val="24"/>
          <w:lang w:val="en-US" w:bidi="en-US" w:eastAsia="en-US"/>
        </w:rPr>
        <w:t>rat</w:t>
      </w:r>
      <w:r>
        <w:rPr>
          <w:rFonts w:ascii="Times New Roman" w:hAnsi="Times New Roman"/>
          <w:sz w:val="24"/>
          <w:lang w:val="en-US" w:bidi="en-US" w:eastAsia="en-US"/>
        </w:rPr>
        <w:t xml:space="preserve">es, </w:t>
      </w:r>
      <w:r>
        <w:rPr>
          <w:rFonts w:ascii="Times New Roman" w:hAnsi="Times New Roman"/>
          <w:sz w:val="24"/>
        </w:rPr>
        <w:t xml:space="preserve">either fixed or variable, </w:t>
      </w:r>
      <w:r>
        <w:rPr>
          <w:rFonts w:ascii="Times New Roman" w:hAnsi="Times New Roman"/>
          <w:sz w:val="24"/>
        </w:rPr>
        <w:t>over the term of the loan.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The board may consider the following in setting the interest rate: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State and national market interest rates;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State and national economic conditions;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solvency and balance of the fund;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Other economic or business information determined by the board to be relevant.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49-16C-3, 49-16C-4.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2005-04-08T18:59:00Z</dcterms:created>
  <cp:lastModifiedBy>Kelly Thompson</cp:lastModifiedBy>
  <dcterms:modified xsi:type="dcterms:W3CDTF">2022-11-09T22:51:33Z</dcterms:modified>
  <cp:revision>4</cp:revision>
  <dc:title>CHAPTER 70:05:02</dc:title>
</cp:coreProperties>
</file>