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70:05:03:13.  Review of financial status.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he board or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may conduct an overall review of the </w:t>
      </w:r>
      <w:r>
        <w:rPr>
          <w:rFonts w:ascii="Times New Roman" w:hAnsi="Times New Roman"/>
          <w:sz w:val="24"/>
        </w:rPr>
        <w:t>financial status</w:t>
      </w:r>
      <w:r>
        <w:rPr>
          <w:rFonts w:ascii="Times New Roman" w:hAnsi="Times New Roman"/>
          <w:sz w:val="24"/>
          <w:lang w:val="en-US" w:bidi="en-US" w:eastAsia="en-US"/>
        </w:rPr>
        <w:t xml:space="preserve"> of an applicant or borrower and any benefitted entity</w:t>
      </w:r>
      <w:r>
        <w:rPr>
          <w:rFonts w:ascii="Times New Roman" w:hAnsi="Times New Roman"/>
          <w:sz w:val="24"/>
        </w:rPr>
        <w:t xml:space="preserve">. The review may include an analysis of all assets and liabilities and an analysis of the ability of the applicant </w:t>
      </w:r>
      <w:r>
        <w:rPr>
          <w:rFonts w:ascii="Times New Roman" w:hAnsi="Times New Roman"/>
          <w:sz w:val="24"/>
          <w:lang w:val="en-US" w:bidi="en-US" w:eastAsia="en-US"/>
        </w:rPr>
        <w:t>or borrower and any ben</w:t>
      </w:r>
      <w:r>
        <w:rPr>
          <w:rFonts w:ascii="Times New Roman" w:hAnsi="Times New Roman"/>
          <w:sz w:val="24"/>
          <w:lang w:val="en-US" w:bidi="en-US" w:eastAsia="en-US"/>
        </w:rPr>
        <w:t xml:space="preserve">efitted entity </w:t>
      </w:r>
      <w:r>
        <w:rPr>
          <w:rFonts w:ascii="Times New Roman" w:hAnsi="Times New Roman"/>
          <w:sz w:val="24"/>
        </w:rPr>
        <w:t>to service and honor the loan commitments.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1-44-20,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2005-04-08T19:00:00Z</dcterms:created>
  <cp:lastModifiedBy>Kelly Thompson</cp:lastModifiedBy>
  <dcterms:modified xsi:type="dcterms:W3CDTF">2022-11-09T22:54:03Z</dcterms:modified>
  <cp:revision>5</cp:revision>
  <dc:title>CHAPTER 70:05:02</dc:title>
</cp:coreProperties>
</file>